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B14EF4">
      <w:pPr>
        <w:spacing w:after="0" w:line="240" w:lineRule="auto"/>
        <w:ind w:firstLine="709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Информационная справка об общественно-политической ситуации                                         в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 сельском поселении Усть-Чульский сельсовет Аскизского муниципального района Республики Хакасия</w:t>
      </w:r>
    </w:p>
    <w:p w14:paraId="2133BE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DA7B71">
      <w:pPr>
        <w:numPr>
          <w:ilvl w:val="0"/>
          <w:numId w:val="1"/>
        </w:num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Общая ситуаци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я</w:t>
      </w:r>
    </w:p>
    <w:p w14:paraId="27757AC1">
      <w:pPr>
        <w:numPr>
          <w:ilvl w:val="0"/>
          <w:numId w:val="0"/>
        </w:numPr>
        <w:spacing w:after="0" w:line="240" w:lineRule="auto"/>
        <w:ind w:firstLine="708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Население сельского поселения Усть-Чульский сельсовет Аскизского муниципального района Республики Хакасия расположено в юго-западной части Аскизского района Республики Хакасия, в бассейне реки Тёя, местность среднегорная, залесенная, труднопроходная, вне дорог. </w:t>
      </w:r>
    </w:p>
    <w:p w14:paraId="245A5092">
      <w:pPr>
        <w:numPr>
          <w:ilvl w:val="0"/>
          <w:numId w:val="0"/>
        </w:numPr>
        <w:spacing w:after="0" w:line="240" w:lineRule="auto"/>
        <w:ind w:firstLine="708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По территории поселения проходит автодорога федерального значения Абакан--Ак-Довурак</w:t>
      </w:r>
    </w:p>
    <w:p w14:paraId="42431DE9">
      <w:pPr>
        <w:numPr>
          <w:ilvl w:val="0"/>
          <w:numId w:val="0"/>
        </w:numPr>
        <w:spacing w:after="0" w:line="240" w:lineRule="auto"/>
        <w:ind w:firstLine="708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На территории сельского поселения находится  шесть населённых пунктов: село Усть-Чуль, деревня Нижняя Тёя, аал Отты, аал Верхняя Тёя, аал Илиморов, аал Политов. Постоянное население  сельского поселения Усть-Чульский сельсовет составляет 2200 человек, проживает  в основном коренное население-хакасы 98,6%. На территории сельского поселения Усть-Чульский сельсовет  10 крестьянско-фермерских хозяйств  сельскохозяйственного направления ( разведение крупно-рогатого скота, лошадей,овец свиней и птицы).</w:t>
      </w:r>
    </w:p>
    <w:p w14:paraId="36FD864F">
      <w:pPr>
        <w:numPr>
          <w:ilvl w:val="0"/>
          <w:numId w:val="0"/>
        </w:numPr>
        <w:spacing w:after="0" w:line="240" w:lineRule="auto"/>
        <w:ind w:firstLine="708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На территории поселения находится: 2 средние общеобразовательные школы, 3 начальные общеобразовательные школы, Усть-Чульский центр традиционной культуры «Солбан» и 4 филиала центра культуры в д.Нижняя Тёя, аал Отты, аал Верхняя Тёя, аал Илиморов, детская школа искусств дополнительного образования, 3 сельские библиотеки, врачебная амбулатория, 4 фельдшерско-акушерских пункта, Усть-Чульский детский сад «Ёлочка», детская школа искусств дополнительного образования, Пожарный пост, 2 ветеринарных участка,  Литературный музей.</w:t>
      </w:r>
    </w:p>
    <w:p w14:paraId="049A15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AE30E7A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Территория </w:t>
      </w:r>
      <w:r>
        <w:rPr>
          <w:rFonts w:ascii="Times New Roman" w:hAnsi="Times New Roman" w:cs="Times New Roman"/>
          <w:sz w:val="24"/>
          <w:szCs w:val="24"/>
          <w:lang w:val="ru-RU"/>
        </w:rPr>
        <w:t>поселения</w:t>
      </w:r>
      <w:r>
        <w:rPr>
          <w:rFonts w:ascii="Times New Roman" w:hAnsi="Times New Roman" w:cs="Times New Roman"/>
          <w:sz w:val="24"/>
          <w:szCs w:val="24"/>
        </w:rPr>
        <w:t xml:space="preserve"> составляет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60569,27 га, из которых большую часть территории -21813,56 га составляют земли сельскохозяйственного использования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Леса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и кустарники занимают 35984,88 га от общей площади поселения.Водой покрыто 99,61 га территории Усть-Чульскогго сельсовета.Земли специального назначения составляют 12,34 га.</w:t>
      </w:r>
    </w:p>
    <w:p w14:paraId="703E7820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>
        <w:rPr>
          <w:rFonts w:ascii="Times New Roman" w:hAnsi="Times New Roman" w:cs="Times New Roman"/>
          <w:sz w:val="24"/>
          <w:szCs w:val="24"/>
          <w:lang w:val="ru-RU"/>
        </w:rPr>
        <w:t>Усть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-Чульского сельсовета</w:t>
      </w:r>
      <w:r>
        <w:rPr>
          <w:rFonts w:ascii="Times New Roman" w:hAnsi="Times New Roman" w:cs="Times New Roman"/>
          <w:sz w:val="24"/>
          <w:szCs w:val="24"/>
        </w:rPr>
        <w:t xml:space="preserve"> количество объектов розничной торговли, числящихся в торговом реестре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составл</w:t>
      </w:r>
      <w:r>
        <w:rPr>
          <w:rFonts w:ascii="Times New Roman" w:hAnsi="Times New Roman" w:cs="Times New Roman"/>
          <w:sz w:val="24"/>
          <w:szCs w:val="24"/>
          <w:lang w:val="ru-RU"/>
        </w:rPr>
        <w:t>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единиц, </w:t>
      </w:r>
      <w:r>
        <w:rPr>
          <w:rFonts w:ascii="Times New Roman" w:hAnsi="Times New Roman" w:cs="Times New Roman"/>
          <w:sz w:val="24"/>
          <w:szCs w:val="24"/>
          <w:lang w:val="ru-RU"/>
        </w:rPr>
        <w:t>общей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площадью 381,8 кв.м. .</w:t>
      </w:r>
    </w:p>
    <w:p w14:paraId="7EF77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EEB468C">
      <w:pPr>
        <w:numPr>
          <w:ilvl w:val="0"/>
          <w:numId w:val="1"/>
        </w:numPr>
        <w:spacing w:after="0" w:line="240" w:lineRule="auto"/>
        <w:ind w:left="0" w:leftChars="0" w:firstLine="709" w:firstLineChars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Общественно-политическая ситуация</w:t>
      </w:r>
    </w:p>
    <w:p w14:paraId="5300030B">
      <w:pPr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A6A4DD">
      <w:pPr>
        <w:ind w:firstLine="709"/>
        <w:jc w:val="both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</w:rPr>
        <w:t>Представительный орган муниципального образования - Совет депутатов сельского поселения Усть-Чульского сельсовета Аскизского муниципального района Республики Хакасия</w:t>
      </w:r>
      <w:r>
        <w:rPr>
          <w:rFonts w:hint="default" w:ascii="Times New Roman" w:hAnsi="Times New Roman" w:cs="Times New Roman"/>
          <w:lang w:val="ru-RU"/>
        </w:rPr>
        <w:t xml:space="preserve">.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Совет состоит из 11 депутатов, избираемых на основе всеобщего равного и прямого избирательного права по одномандатным и (или) многомандатным избирательным округам при тайном голосовании в соответствии с федеральными законами и законами Республики Хакасия сроком на 5 лет.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В Совете депутатов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 5 человек являются членами Партии  «Единая Россия», почти 50% от количества избранных депутатов пятого созыва.</w:t>
      </w:r>
    </w:p>
    <w:p w14:paraId="02EB4C2C">
      <w:pPr>
        <w:ind w:firstLine="709"/>
        <w:jc w:val="both"/>
        <w:rPr>
          <w:rFonts w:hint="default" w:ascii="Times New Roman" w:hAnsi="Times New Roman" w:cs="Times New Roman"/>
          <w:lang w:bidi="ru-RU"/>
        </w:rPr>
      </w:pPr>
      <w:r>
        <w:rPr>
          <w:rFonts w:hint="default" w:ascii="Times New Roman" w:hAnsi="Times New Roman" w:cs="Times New Roman"/>
        </w:rPr>
        <w:t>К исключительной компетенции Совета относится: принятие Устава, внесение в него изменений и дополнений; утверждение местного бюджета и от</w:t>
      </w:r>
      <w:r>
        <w:rPr>
          <w:rFonts w:hint="default" w:ascii="Times New Roman" w:hAnsi="Times New Roman" w:cs="Times New Roman"/>
          <w:lang w:val="ru-RU"/>
        </w:rPr>
        <w:t>чё</w:t>
      </w:r>
      <w:r>
        <w:rPr>
          <w:rFonts w:hint="default" w:ascii="Times New Roman" w:hAnsi="Times New Roman" w:cs="Times New Roman"/>
        </w:rPr>
        <w:t>та о его исполнени</w:t>
      </w:r>
      <w:r>
        <w:rPr>
          <w:rFonts w:hint="default" w:ascii="Times New Roman" w:hAnsi="Times New Roman" w:cs="Times New Roman"/>
          <w:lang w:val="ru-RU"/>
        </w:rPr>
        <w:t>и;</w:t>
      </w:r>
      <w:r>
        <w:rPr>
          <w:rFonts w:hint="default" w:ascii="Times New Roman" w:hAnsi="Times New Roman" w:cs="Times New Roman"/>
          <w:lang w:bidi="ru-RU"/>
        </w:rPr>
        <w:t xml:space="preserve"> установление, введение в действие и прекращение действия ранее введённых местных налогов и сборов в соответствии с законодательством Российской Федерации о налогах и сборах;</w:t>
      </w:r>
      <w:r>
        <w:rPr>
          <w:rFonts w:hint="default" w:ascii="Times New Roman" w:hAnsi="Times New Roman" w:cs="Times New Roman"/>
        </w:rPr>
        <w:t>утверждение стратегии социально-экономического развития муниципального образования;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hint="default" w:ascii="Times New Roman" w:hAnsi="Times New Roman" w:cs="Times New Roman"/>
          <w:lang w:bidi="ru-RU"/>
        </w:rPr>
        <w:t>определение порядка управления и распоряжения имуществом, находящимся в муниципальной собственности;</w:t>
      </w:r>
      <w:r>
        <w:rPr>
          <w:rFonts w:hint="default" w:ascii="Times New Roman" w:hAnsi="Times New Roman" w:cs="Times New Roman"/>
        </w:rPr>
        <w:t>определение порядка принятия решений о создании, реорганизации и ликвидации муниципальных предприятий, а также об установлении тарифов на услуги муниципальных предприятий и учреждений, выполнение работ, за исключением случаев, предусмотренных федеральными закона</w:t>
      </w:r>
      <w:r>
        <w:rPr>
          <w:rFonts w:hint="default" w:ascii="Times New Roman" w:hAnsi="Times New Roman" w:cs="Times New Roman"/>
          <w:lang w:val="ru-RU"/>
        </w:rPr>
        <w:t>ми;</w:t>
      </w:r>
      <w:r>
        <w:rPr>
          <w:rFonts w:hint="default" w:ascii="Times New Roman" w:hAnsi="Times New Roman" w:cs="Times New Roman"/>
        </w:rPr>
        <w:t xml:space="preserve">определение порядка материально-технического и организационного обеспечения деятельности органов местного самоуправления; контроль за исполнением органами и должностными лицами местного самоуправления полномочий по решению вопросов местного значения;принятие решения об удалении главы поселения в отставку;утверждение правил благоустройства территории муниципального образования; </w:t>
      </w:r>
      <w:r>
        <w:rPr>
          <w:rFonts w:hint="default" w:ascii="Times New Roman" w:hAnsi="Times New Roman" w:cs="Times New Roman"/>
          <w:lang w:bidi="ru-RU"/>
        </w:rPr>
        <w:t xml:space="preserve">заслушивание ежегодных отчётов главы </w:t>
      </w:r>
      <w:r>
        <w:rPr>
          <w:rFonts w:hint="default" w:ascii="Times New Roman" w:hAnsi="Times New Roman" w:cs="Times New Roman"/>
        </w:rPr>
        <w:t>поселения</w:t>
      </w:r>
      <w:r>
        <w:rPr>
          <w:rFonts w:hint="default" w:ascii="Times New Roman" w:hAnsi="Times New Roman" w:cs="Times New Roman"/>
          <w:lang w:bidi="ru-RU"/>
        </w:rPr>
        <w:t xml:space="preserve"> о результатах его деятельности, деятельности местной администрации поселения и иных подведомственных главы </w:t>
      </w:r>
      <w:r>
        <w:rPr>
          <w:rFonts w:hint="default" w:ascii="Times New Roman" w:hAnsi="Times New Roman" w:cs="Times New Roman"/>
        </w:rPr>
        <w:t>поселения</w:t>
      </w:r>
      <w:r>
        <w:rPr>
          <w:rFonts w:hint="default" w:ascii="Times New Roman" w:hAnsi="Times New Roman" w:cs="Times New Roman"/>
          <w:lang w:bidi="ru-RU"/>
        </w:rPr>
        <w:t xml:space="preserve"> органов местного самоуправления, в том числе о решении вопросов, поставленных Советом.</w:t>
      </w:r>
    </w:p>
    <w:p w14:paraId="4DF81885">
      <w:pPr>
        <w:ind w:firstLine="709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bidi="ru-RU"/>
        </w:rPr>
        <w:t xml:space="preserve"> К компетенции Совета также относится:</w:t>
      </w:r>
      <w:r>
        <w:rPr>
          <w:rFonts w:hint="default" w:ascii="Times New Roman" w:hAnsi="Times New Roman" w:cs="Times New Roman"/>
        </w:rPr>
        <w:t xml:space="preserve"> установление официальных символов поселения и порядка их использования; назначение местного референдума, муниципальных выборов, опроса граждан;утверждение структуры местной администрации по представлению главы поселения;утверждение положения о ревизионной комиссии поселения;определение порядка участия поселения в организациях межмуниципального сотрудничества;определение порядка рассмотрения проекта бюджета поселения, утверждения и исполнения бюджета поселения, осуществления контроля за его исполнением и утверждения отч</w:t>
      </w:r>
      <w:r>
        <w:rPr>
          <w:rFonts w:hint="default" w:ascii="Times New Roman" w:hAnsi="Times New Roman" w:cs="Times New Roman"/>
          <w:lang w:val="ru-RU"/>
        </w:rPr>
        <w:t>ё</w:t>
      </w:r>
      <w:r>
        <w:rPr>
          <w:rFonts w:hint="default" w:ascii="Times New Roman" w:hAnsi="Times New Roman" w:cs="Times New Roman"/>
        </w:rPr>
        <w:t>та об исполнении бюджета поселения; установление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фонда;определение порядка предоставления жилых помещений муниципального специализированного жилищного фонда;решение иных вопросов, отнес</w:t>
      </w:r>
      <w:r>
        <w:rPr>
          <w:rFonts w:hint="default" w:ascii="Times New Roman" w:hAnsi="Times New Roman" w:cs="Times New Roman"/>
          <w:lang w:val="ru-RU"/>
        </w:rPr>
        <w:t>ё</w:t>
      </w:r>
      <w:r>
        <w:rPr>
          <w:rFonts w:hint="default" w:ascii="Times New Roman" w:hAnsi="Times New Roman" w:cs="Times New Roman"/>
        </w:rPr>
        <w:t>нных к компетенции Совета федеральными законами, Конституцией Республики Хакасия, законами Республики Хакасия, а также Уставом.</w:t>
      </w:r>
    </w:p>
    <w:p w14:paraId="34F276E9">
      <w:pPr>
        <w:ind w:left="708" w:leftChars="0" w:firstLine="709"/>
        <w:jc w:val="both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Депутатский корпус сплочённый, руководит Глава поселения.</w:t>
      </w:r>
      <w:r>
        <w:rPr>
          <w:rFonts w:hint="default" w:ascii="Times New Roman" w:hAnsi="Times New Roman"/>
          <w:sz w:val="24"/>
          <w:szCs w:val="24"/>
          <w:lang w:val="ru-RU"/>
        </w:rPr>
        <w:tab/>
      </w:r>
    </w:p>
    <w:p w14:paraId="6345E421">
      <w:pPr>
        <w:ind w:firstLine="709"/>
        <w:jc w:val="both"/>
        <w:outlineLvl w:val="3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t>Местная администрация (исполнительно-распорядительный орган муниципального образования) - Администрация сельского поселения Усть-Чульского сельсовета Аскизского муниципального района Республики Хакасия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, который  вправе решать</w:t>
      </w:r>
      <w:r>
        <w:rPr>
          <w:rFonts w:hint="default" w:ascii="Times New Roman" w:hAnsi="Times New Roman" w:cs="Times New Roman"/>
          <w:sz w:val="24"/>
          <w:szCs w:val="24"/>
        </w:rPr>
        <w:t xml:space="preserve">  вопросы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местного значения поселения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: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 владение, пользование и распоряжение имуществом, находящимся в муниципальной собственности поселения; обеспечение первичных мер пожарной безопасности в границах насел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ё</w:t>
      </w:r>
      <w:r>
        <w:rPr>
          <w:rFonts w:hint="default" w:ascii="Times New Roman" w:hAnsi="Times New Roman" w:cs="Times New Roman"/>
          <w:sz w:val="24"/>
          <w:szCs w:val="24"/>
        </w:rPr>
        <w:t>нных пунктов поселения;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созд</w:t>
      </w:r>
      <w:r>
        <w:rPr>
          <w:rFonts w:hint="default" w:ascii="Times New Roman" w:hAnsi="Times New Roman" w:cs="Times New Roman"/>
          <w:sz w:val="24"/>
          <w:szCs w:val="24"/>
        </w:rPr>
        <w:t>ание условий для обеспечения жителей поселения услугами связи, общественного питания, торговли и бытового обслуживания; создание условий для организации досуга и обеспечения жителей поселения услугами организаций культуры;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и т.д.</w:t>
      </w:r>
    </w:p>
    <w:p w14:paraId="6EFB6AFA">
      <w:pPr>
        <w:ind w:firstLine="709"/>
        <w:jc w:val="both"/>
        <w:outlineLvl w:val="3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Стратегической целью развития поселения, на основании которой возможна консолидация интересов широких слоёв  местного сообщества, является:</w:t>
      </w:r>
    </w:p>
    <w:p w14:paraId="6C1E3E71">
      <w:pPr>
        <w:ind w:firstLine="709"/>
        <w:jc w:val="both"/>
        <w:outlineLvl w:val="3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-создание условий для дальнейшего повышения уровня жизни населения на основе устойчивого экономического роста;</w:t>
      </w:r>
    </w:p>
    <w:p w14:paraId="65BF944B">
      <w:pPr>
        <w:bidi w:val="0"/>
        <w:ind w:firstLine="708" w:firstLineChars="0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- повышение эффективного использования потенциала территории;</w:t>
      </w:r>
    </w:p>
    <w:p w14:paraId="5D7F4B9F">
      <w:pPr>
        <w:bidi w:val="0"/>
        <w:ind w:firstLine="708" w:firstLineChars="0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--повышение эффективности использования финансовых и материальных ресурсов поселения;</w:t>
      </w:r>
    </w:p>
    <w:p w14:paraId="3CE08A76">
      <w:pPr>
        <w:bidi w:val="0"/>
        <w:ind w:firstLine="708" w:firstLineChars="0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-укрепление собственной финансовой базы;</w:t>
      </w:r>
    </w:p>
    <w:p w14:paraId="05145D5E">
      <w:pPr>
        <w:bidi w:val="0"/>
        <w:ind w:firstLine="708" w:firstLineChars="0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-обеспечение трудовых и социальных гарантий граждан.</w:t>
      </w:r>
    </w:p>
    <w:p w14:paraId="69BD9174">
      <w:pPr>
        <w:bidi w:val="0"/>
        <w:ind w:firstLine="708" w:firstLineChars="0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Данная цель раскрывает способ обеспечения условий для повышения уровня жизни населения Усть-Чульского сельсовета, ориентирует на достижение достаточно серьёзного рубежа- обеспечение в качестве развитой сельскохозяйственной территории достойного места в экономике Республики Хакасия.</w:t>
      </w:r>
    </w:p>
    <w:p w14:paraId="4DA061B3">
      <w:pPr>
        <w:spacing w:after="0" w:line="240" w:lineRule="auto"/>
        <w:ind w:firstLine="708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Крупны</w:t>
      </w:r>
      <w:r>
        <w:rPr>
          <w:rFonts w:ascii="Times New Roman" w:hAnsi="Times New Roman" w:cs="Times New Roman"/>
          <w:sz w:val="24"/>
          <w:szCs w:val="24"/>
          <w:lang w:val="ru-RU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хозяйствующи</w:t>
      </w:r>
      <w:r>
        <w:rPr>
          <w:rFonts w:ascii="Times New Roman" w:hAnsi="Times New Roman" w:cs="Times New Roman"/>
          <w:sz w:val="24"/>
          <w:szCs w:val="24"/>
          <w:lang w:val="ru-RU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субъект</w:t>
      </w:r>
      <w:r>
        <w:rPr>
          <w:rFonts w:ascii="Times New Roman" w:hAnsi="Times New Roman" w:cs="Times New Roman"/>
          <w:sz w:val="24"/>
          <w:szCs w:val="24"/>
          <w:lang w:val="ru-RU"/>
        </w:rPr>
        <w:t>ов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на территории отсутствует.</w:t>
      </w:r>
    </w:p>
    <w:p w14:paraId="0BD6576E">
      <w:pPr>
        <w:ind w:firstLine="709"/>
        <w:jc w:val="both"/>
        <w:outlineLvl w:val="3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40287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7222F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Проблема территории</w:t>
      </w:r>
    </w:p>
    <w:p w14:paraId="2287F5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2D6DDF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Ветхое состояние зданий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медицинского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обслуживания: с.Усть-Чуль, аал Верхняя Тёя, аал Политов</w:t>
      </w:r>
    </w:p>
    <w:p w14:paraId="1F84B3AD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Высокий износ зданий учреждений культуры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:с.Усть-Чуль, аал Отты</w:t>
      </w:r>
    </w:p>
    <w:p w14:paraId="1BDB8E39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Капитальный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ремонт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дорог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местного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значения и в населенных пунктах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.</w:t>
      </w:r>
    </w:p>
    <w:p w14:paraId="69D00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7AE90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Основные организации образования, здравоохранения, культуры и т.д.</w:t>
      </w:r>
    </w:p>
    <w:p w14:paraId="3CEAA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12"/>
        <w:tblW w:w="10207" w:type="dxa"/>
        <w:tblInd w:w="-7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4962"/>
        <w:gridCol w:w="4536"/>
      </w:tblGrid>
      <w:tr w14:paraId="5FC563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CCC"/>
            <w:vAlign w:val="center"/>
          </w:tcPr>
          <w:p w14:paraId="198140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</w:t>
            </w:r>
          </w:p>
          <w:p w14:paraId="0E96E3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п/п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CCC"/>
            <w:vAlign w:val="center"/>
          </w:tcPr>
          <w:p w14:paraId="4D9144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организаций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CCC"/>
            <w:vAlign w:val="center"/>
          </w:tcPr>
          <w:p w14:paraId="58FF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ФИО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руководителя</w:t>
            </w:r>
          </w:p>
        </w:tc>
      </w:tr>
      <w:tr w14:paraId="14EDAB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82D0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75D73F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МБОУ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Усть-Чульская СОШ им.М.Е.Кильчичакова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CF845F">
            <w:pPr>
              <w:spacing w:before="60" w:after="60" w:line="240" w:lineRule="auto"/>
              <w:jc w:val="both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Боргоякова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Алиса Филипповна</w:t>
            </w:r>
          </w:p>
        </w:tc>
      </w:tr>
      <w:tr w14:paraId="47BD6F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CC4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DE9EEF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МБОУ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Нижне-Тейская СОШ им. С.П.Ултургашева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8416A8">
            <w:pPr>
              <w:spacing w:before="60" w:after="60" w:line="240" w:lineRule="auto"/>
              <w:jc w:val="both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Ултургашева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Лилия Павловна</w:t>
            </w:r>
          </w:p>
        </w:tc>
      </w:tr>
      <w:tr w14:paraId="33FD4D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5D9D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5D22E8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МКУК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Усть-Чульский центр традиционной культуры «Солбан»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10D534">
            <w:pPr>
              <w:spacing w:before="60" w:after="60" w:line="240" w:lineRule="auto"/>
              <w:jc w:val="both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Боргоякова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Алина Сергеевна</w:t>
            </w:r>
          </w:p>
        </w:tc>
      </w:tr>
      <w:tr w14:paraId="145ACB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38E634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AF5F19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ГБУЗ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РХ «Аскизская ЦРБ» Усть-Чульская врачебная амбулатория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01609D">
            <w:pPr>
              <w:spacing w:before="60" w:after="60" w:line="240" w:lineRule="auto"/>
              <w:jc w:val="both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Колеватова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Малена Владимировна</w:t>
            </w:r>
          </w:p>
        </w:tc>
      </w:tr>
      <w:tr w14:paraId="05AC79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1A6839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1EFD68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МБУ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ДО «Усть-Чульская детская школа искусств им. Л.Н.Бурнакова»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9733C9">
            <w:pPr>
              <w:spacing w:before="60" w:after="60" w:line="240" w:lineRule="auto"/>
              <w:jc w:val="both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Канзычакова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Надежда Михайловна</w:t>
            </w:r>
          </w:p>
        </w:tc>
      </w:tr>
      <w:tr w14:paraId="3E9F72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29F57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1909FB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МБДОУ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Усть-Чульский детский сад «Ёлочка»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A64883">
            <w:pPr>
              <w:spacing w:before="60" w:after="60" w:line="240" w:lineRule="auto"/>
              <w:jc w:val="both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Мамышева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Анастасия Николаевна</w:t>
            </w:r>
          </w:p>
        </w:tc>
      </w:tr>
      <w:tr w14:paraId="05C76E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28CD99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60106E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ГКУ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РХ «Аскизская ветстанция» Усть-Чульский ветеринарный участок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CD9A27">
            <w:pPr>
              <w:spacing w:before="60" w:after="60" w:line="240" w:lineRule="auto"/>
              <w:jc w:val="both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Чепчигашев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Станислав Афанасьевич</w:t>
            </w:r>
          </w:p>
        </w:tc>
      </w:tr>
      <w:tr w14:paraId="4C4FAB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52E3B0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63D49D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ОП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№ 1 ПЧ №41 Пожарный пост с.Усть-Чуль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6AA4DD">
            <w:pPr>
              <w:spacing w:before="60" w:after="60" w:line="240" w:lineRule="auto"/>
              <w:jc w:val="both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Боргояков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Сабир Владимирович</w:t>
            </w:r>
          </w:p>
        </w:tc>
      </w:tr>
      <w:tr w14:paraId="3520BB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D081F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79D0EC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ГКУ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РХ «Аскизская ветстанция в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етеринарный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пункт д.Нижняя Тея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CFA78F">
            <w:pPr>
              <w:spacing w:before="60" w:after="60" w:line="240" w:lineRule="auto"/>
              <w:jc w:val="both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Арыштаев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Евгений Владимирович</w:t>
            </w:r>
          </w:p>
        </w:tc>
      </w:tr>
      <w:tr w14:paraId="2FE82F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ADE8FC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C587CB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Литературный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музей имени М.Е.Кильчичакова ( филиал «Анхаковский музей- заповедник «Хуртуях тас»)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35A8E9">
            <w:pPr>
              <w:spacing w:before="60" w:after="60" w:line="240" w:lineRule="auto"/>
              <w:jc w:val="both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Боргоякова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Надежда Никифоровна</w:t>
            </w:r>
          </w:p>
        </w:tc>
      </w:tr>
      <w:tr w14:paraId="1AD528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1B9797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78CFED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Усть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-Чульская сельская библиотека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03EBD2">
            <w:pPr>
              <w:spacing w:before="60" w:after="60" w:line="240" w:lineRule="auto"/>
              <w:jc w:val="both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Боргоякова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Светлана Семеновна</w:t>
            </w:r>
          </w:p>
        </w:tc>
      </w:tr>
      <w:tr w14:paraId="2BF27F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07DF2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840A1F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Нижне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Тейская сельская библиотека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7D0E90">
            <w:pPr>
              <w:spacing w:before="60" w:after="60" w:line="240" w:lineRule="auto"/>
              <w:jc w:val="both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Канзычакова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Кристина Эдуардовна</w:t>
            </w:r>
          </w:p>
        </w:tc>
      </w:tr>
      <w:tr w14:paraId="1C0F4D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F5C153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AA615B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Оттинская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сельская библиотека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1F2577">
            <w:pPr>
              <w:spacing w:before="60" w:after="6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Табакова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Светлана Георгиевна</w:t>
            </w:r>
          </w:p>
        </w:tc>
      </w:tr>
    </w:tbl>
    <w:p w14:paraId="341BE2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01F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</w:rPr>
        <w:t>. Основные общественные организации</w:t>
      </w:r>
    </w:p>
    <w:p w14:paraId="66B145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12"/>
        <w:tblW w:w="9961" w:type="dxa"/>
        <w:tblInd w:w="-5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"/>
        <w:gridCol w:w="38"/>
        <w:gridCol w:w="5000"/>
        <w:gridCol w:w="4536"/>
      </w:tblGrid>
      <w:tr w14:paraId="498300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CCC"/>
            <w:vAlign w:val="center"/>
          </w:tcPr>
          <w:p w14:paraId="78FC206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</w:t>
            </w:r>
          </w:p>
          <w:p w14:paraId="7B7460F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п/п</w:t>
            </w:r>
          </w:p>
        </w:tc>
        <w:tc>
          <w:tcPr>
            <w:tcW w:w="5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CCC"/>
            <w:vAlign w:val="center"/>
          </w:tcPr>
          <w:p w14:paraId="3AB9CC1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CCC"/>
            <w:vAlign w:val="center"/>
          </w:tcPr>
          <w:p w14:paraId="2BB847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ФИО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руководителя</w:t>
            </w:r>
          </w:p>
        </w:tc>
      </w:tr>
      <w:tr w14:paraId="55917B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C21C0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0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B904F0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Территориальное общественное самоуправление  «Ирбен»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5E6FF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Кольчикова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Вера Ефимовна</w:t>
            </w:r>
          </w:p>
        </w:tc>
      </w:tr>
      <w:tr w14:paraId="19519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471E2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0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5D4863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Территориальное общественное самоуправление «Пай хазын»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91310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Субракова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Татьяна Семеновна</w:t>
            </w:r>
          </w:p>
        </w:tc>
      </w:tr>
      <w:tr w14:paraId="236A60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040BB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0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F61DA1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Территориальное общественное самоуправление «Ус хол»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FE8F9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Мамышева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Нина Леонидовна</w:t>
            </w:r>
          </w:p>
        </w:tc>
      </w:tr>
      <w:tr w14:paraId="559B90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2E4BF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0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685525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Территориальное общественное самоуправление «Порчо»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C8A88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Боргоякова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Алиса Филипповна</w:t>
            </w:r>
          </w:p>
        </w:tc>
      </w:tr>
      <w:tr w14:paraId="6E40C3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958F2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0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24F33A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Территориальное общественное самоуправление « Кун чарии»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E9775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Боргоякова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Надежда Никифоровна</w:t>
            </w:r>
          </w:p>
        </w:tc>
      </w:tr>
      <w:tr w14:paraId="0D9480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6A399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0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62CA78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Территориальное общественное самоуправление «Ис-пай»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7C246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Табакова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Светлана Георгиевна</w:t>
            </w:r>
          </w:p>
        </w:tc>
      </w:tr>
    </w:tbl>
    <w:p w14:paraId="4C031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8584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. Основные политические силы (Партии, которые проявляют активность)</w:t>
      </w:r>
    </w:p>
    <w:p w14:paraId="0233F5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территории округа на текущий момент, отсутствуют Партии, проявляющие активный интерес к предстоящим выборам.</w:t>
      </w:r>
      <w:bookmarkStart w:id="2" w:name="_GoBack"/>
      <w:bookmarkEnd w:id="2"/>
    </w:p>
    <w:p w14:paraId="2FA221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1D7F88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Hlk204785544"/>
      <w:r>
        <w:rPr>
          <w:rFonts w:ascii="Times New Roman" w:hAnsi="Times New Roman"/>
          <w:b/>
          <w:bCs/>
          <w:sz w:val="24"/>
          <w:szCs w:val="24"/>
        </w:rPr>
        <w:t>7.  Мобилизационная корзина (лояльность)</w:t>
      </w:r>
    </w:p>
    <w:tbl>
      <w:tblPr>
        <w:tblStyle w:val="12"/>
        <w:tblW w:w="9554" w:type="dxa"/>
        <w:tblInd w:w="-5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5497"/>
        <w:gridCol w:w="1658"/>
        <w:gridCol w:w="1837"/>
      </w:tblGrid>
      <w:tr w14:paraId="1619D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562" w:type="dxa"/>
            <w:shd w:val="clear" w:color="000000" w:fill="D9D9D9"/>
            <w:noWrap/>
            <w:vAlign w:val="bottom"/>
          </w:tcPr>
          <w:p w14:paraId="1566B6C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497" w:type="dxa"/>
            <w:shd w:val="clear" w:color="000000" w:fill="D9D9D9"/>
            <w:noWrap/>
            <w:vAlign w:val="center"/>
          </w:tcPr>
          <w:p w14:paraId="207DBD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658" w:type="dxa"/>
            <w:shd w:val="clear" w:color="000000" w:fill="D9D9D9"/>
            <w:vAlign w:val="center"/>
          </w:tcPr>
          <w:p w14:paraId="12E7BB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Количество работающих, чел.</w:t>
            </w:r>
          </w:p>
        </w:tc>
        <w:tc>
          <w:tcPr>
            <w:tcW w:w="1837" w:type="dxa"/>
            <w:shd w:val="clear" w:color="CCCCFF" w:fill="D9D9D9"/>
            <w:vAlign w:val="center"/>
          </w:tcPr>
          <w:p w14:paraId="5F0321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Светофор избираемости % (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Пример)</w:t>
            </w:r>
          </w:p>
        </w:tc>
      </w:tr>
      <w:tr w14:paraId="5EF28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shd w:val="clear" w:color="000000" w:fill="D9D9D9"/>
            <w:noWrap/>
            <w:vAlign w:val="bottom"/>
          </w:tcPr>
          <w:p w14:paraId="78865E1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497" w:type="dxa"/>
            <w:shd w:val="clear" w:color="000000" w:fill="D9D9D9"/>
            <w:noWrap/>
            <w:vAlign w:val="bottom"/>
          </w:tcPr>
          <w:p w14:paraId="55D4268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w="1658" w:type="dxa"/>
            <w:shd w:val="clear" w:color="000000" w:fill="D9D9D9"/>
            <w:vAlign w:val="bottom"/>
          </w:tcPr>
          <w:p w14:paraId="46D67C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37" w:type="dxa"/>
            <w:shd w:val="clear" w:color="CCCCFF" w:fill="D9D9D9"/>
            <w:vAlign w:val="center"/>
          </w:tcPr>
          <w:p w14:paraId="2D743A6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</w:tr>
      <w:tr w14:paraId="16EFD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shd w:val="clear" w:color="auto" w:fill="auto"/>
            <w:noWrap/>
            <w:vAlign w:val="bottom"/>
          </w:tcPr>
          <w:p w14:paraId="18B245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97" w:type="dxa"/>
            <w:shd w:val="clear" w:color="auto" w:fill="auto"/>
            <w:noWrap/>
            <w:vAlign w:val="bottom"/>
          </w:tcPr>
          <w:p w14:paraId="0A0F45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Усть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-Чульская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658" w:type="dxa"/>
            <w:shd w:val="clear" w:color="auto" w:fill="auto"/>
            <w:noWrap/>
            <w:vAlign w:val="bottom"/>
          </w:tcPr>
          <w:p w14:paraId="06DCF6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shd w:val="clear" w:color="FFFF00" w:fill="FFFF00"/>
            <w:vAlign w:val="center"/>
          </w:tcPr>
          <w:p w14:paraId="65D77D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9ECC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shd w:val="clear" w:color="auto" w:fill="auto"/>
            <w:noWrap/>
            <w:vAlign w:val="bottom"/>
          </w:tcPr>
          <w:p w14:paraId="097DF4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97" w:type="dxa"/>
            <w:shd w:val="clear" w:color="auto" w:fill="auto"/>
            <w:noWrap/>
            <w:vAlign w:val="bottom"/>
          </w:tcPr>
          <w:p w14:paraId="40223B9E">
            <w:pPr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Нижне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-Тейская СОШ</w:t>
            </w:r>
          </w:p>
        </w:tc>
        <w:tc>
          <w:tcPr>
            <w:tcW w:w="1658" w:type="dxa"/>
            <w:shd w:val="clear" w:color="auto" w:fill="auto"/>
            <w:noWrap/>
            <w:vAlign w:val="bottom"/>
          </w:tcPr>
          <w:p w14:paraId="7C55F1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shd w:val="clear" w:color="92D050" w:fill="92D050"/>
            <w:vAlign w:val="center"/>
          </w:tcPr>
          <w:p w14:paraId="0810DC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81CC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shd w:val="clear" w:color="auto" w:fill="auto"/>
            <w:noWrap/>
            <w:vAlign w:val="bottom"/>
          </w:tcPr>
          <w:p w14:paraId="5C4224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7" w:type="dxa"/>
            <w:shd w:val="clear" w:color="auto" w:fill="auto"/>
            <w:noWrap/>
            <w:vAlign w:val="bottom"/>
          </w:tcPr>
          <w:p w14:paraId="7088803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ИТОГО </w:t>
            </w:r>
          </w:p>
        </w:tc>
        <w:tc>
          <w:tcPr>
            <w:tcW w:w="1658" w:type="dxa"/>
            <w:shd w:val="clear" w:color="auto" w:fill="auto"/>
            <w:noWrap/>
            <w:vAlign w:val="bottom"/>
          </w:tcPr>
          <w:p w14:paraId="3FAA923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1001</w:t>
            </w:r>
          </w:p>
        </w:tc>
        <w:tc>
          <w:tcPr>
            <w:tcW w:w="1837" w:type="dxa"/>
            <w:shd w:val="clear" w:color="auto" w:fill="auto"/>
            <w:noWrap/>
            <w:vAlign w:val="bottom"/>
          </w:tcPr>
          <w:p w14:paraId="0DB9487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14:paraId="7B1A5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shd w:val="clear" w:color="000000" w:fill="BFBFBF"/>
            <w:noWrap/>
            <w:vAlign w:val="bottom"/>
          </w:tcPr>
          <w:p w14:paraId="238F8E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497" w:type="dxa"/>
            <w:shd w:val="clear" w:color="000000" w:fill="BFBFBF"/>
            <w:noWrap/>
            <w:vAlign w:val="bottom"/>
          </w:tcPr>
          <w:p w14:paraId="5567D1F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1658" w:type="dxa"/>
            <w:shd w:val="clear" w:color="000000" w:fill="BFBFBF"/>
            <w:noWrap/>
            <w:vAlign w:val="bottom"/>
          </w:tcPr>
          <w:p w14:paraId="0AEF58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37" w:type="dxa"/>
            <w:shd w:val="clear" w:color="000000" w:fill="BFBFBF"/>
            <w:noWrap/>
            <w:vAlign w:val="bottom"/>
          </w:tcPr>
          <w:p w14:paraId="1B1120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14:paraId="2EA52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shd w:val="clear" w:color="auto" w:fill="auto"/>
            <w:noWrap/>
            <w:vAlign w:val="bottom"/>
          </w:tcPr>
          <w:p w14:paraId="3C3EB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97" w:type="dxa"/>
            <w:shd w:val="clear" w:color="auto" w:fill="auto"/>
            <w:noWrap/>
            <w:vAlign w:val="bottom"/>
          </w:tcPr>
          <w:p w14:paraId="4E3CC68E">
            <w:pPr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МКУК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«Центр культуры «Солбан»</w:t>
            </w:r>
          </w:p>
        </w:tc>
        <w:tc>
          <w:tcPr>
            <w:tcW w:w="1658" w:type="dxa"/>
            <w:shd w:val="clear" w:color="auto" w:fill="auto"/>
            <w:noWrap/>
            <w:vAlign w:val="bottom"/>
          </w:tcPr>
          <w:p w14:paraId="0C9A25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shd w:val="clear" w:color="000000" w:fill="FF0000"/>
            <w:vAlign w:val="center"/>
          </w:tcPr>
          <w:p w14:paraId="109E94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7E65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shd w:val="clear" w:color="auto" w:fill="auto"/>
            <w:noWrap/>
            <w:vAlign w:val="bottom"/>
          </w:tcPr>
          <w:p w14:paraId="11041C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97" w:type="dxa"/>
            <w:shd w:val="clear" w:color="auto" w:fill="auto"/>
            <w:noWrap/>
            <w:vAlign w:val="bottom"/>
          </w:tcPr>
          <w:p w14:paraId="65C7E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noWrap/>
            <w:vAlign w:val="bottom"/>
          </w:tcPr>
          <w:p w14:paraId="423D6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shd w:val="clear" w:color="92D050" w:fill="92D050"/>
            <w:vAlign w:val="center"/>
          </w:tcPr>
          <w:p w14:paraId="47F187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FD21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shd w:val="clear" w:color="auto" w:fill="auto"/>
            <w:noWrap/>
            <w:vAlign w:val="bottom"/>
          </w:tcPr>
          <w:p w14:paraId="7AE43E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97" w:type="dxa"/>
            <w:shd w:val="clear" w:color="auto" w:fill="auto"/>
            <w:noWrap/>
            <w:vAlign w:val="bottom"/>
          </w:tcPr>
          <w:p w14:paraId="213835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noWrap/>
            <w:vAlign w:val="bottom"/>
          </w:tcPr>
          <w:p w14:paraId="045BA6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shd w:val="clear" w:color="000000" w:fill="FF0000"/>
            <w:vAlign w:val="center"/>
          </w:tcPr>
          <w:p w14:paraId="4B0CA9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E2AC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79D05B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7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494FB63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ИТОГО </w:t>
            </w:r>
          </w:p>
        </w:tc>
        <w:tc>
          <w:tcPr>
            <w:tcW w:w="165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120E4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183</w:t>
            </w:r>
          </w:p>
        </w:tc>
        <w:tc>
          <w:tcPr>
            <w:tcW w:w="1837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497525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A784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tcBorders>
              <w:bottom w:val="nil"/>
            </w:tcBorders>
            <w:shd w:val="clear" w:color="auto" w:fill="D8D8D8" w:themeFill="background1" w:themeFillShade="D9"/>
            <w:noWrap/>
            <w:vAlign w:val="bottom"/>
          </w:tcPr>
          <w:p w14:paraId="3B0933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7" w:type="dxa"/>
            <w:tcBorders>
              <w:bottom w:val="nil"/>
            </w:tcBorders>
            <w:shd w:val="clear" w:color="auto" w:fill="D8D8D8" w:themeFill="background1" w:themeFillShade="D9"/>
            <w:noWrap/>
            <w:vAlign w:val="bottom"/>
          </w:tcPr>
          <w:p w14:paraId="6B09B62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КРУПНЫЕ ХОЗЯЙСТВУЮЩИЕ СУБЪЕКТЫ</w:t>
            </w:r>
          </w:p>
        </w:tc>
        <w:tc>
          <w:tcPr>
            <w:tcW w:w="1658" w:type="dxa"/>
            <w:tcBorders>
              <w:bottom w:val="nil"/>
            </w:tcBorders>
            <w:shd w:val="clear" w:color="auto" w:fill="D8D8D8" w:themeFill="background1" w:themeFillShade="D9"/>
            <w:noWrap/>
            <w:vAlign w:val="bottom"/>
          </w:tcPr>
          <w:p w14:paraId="6E9DCB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bottom w:val="nil"/>
            </w:tcBorders>
            <w:shd w:val="clear" w:color="auto" w:fill="D8D8D8" w:themeFill="background1" w:themeFillShade="D9"/>
            <w:noWrap/>
            <w:vAlign w:val="bottom"/>
          </w:tcPr>
          <w:p w14:paraId="368C96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29D9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tcBorders>
              <w:top w:val="nil"/>
            </w:tcBorders>
            <w:shd w:val="clear" w:color="auto" w:fill="auto"/>
            <w:noWrap/>
            <w:vAlign w:val="bottom"/>
          </w:tcPr>
          <w:p w14:paraId="03A4FE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97" w:type="dxa"/>
            <w:tcBorders>
              <w:top w:val="nil"/>
            </w:tcBorders>
            <w:shd w:val="clear" w:color="auto" w:fill="auto"/>
            <w:noWrap/>
            <w:vAlign w:val="bottom"/>
          </w:tcPr>
          <w:p w14:paraId="6BCD57F9">
            <w:pPr>
              <w:spacing w:after="0" w:line="240" w:lineRule="auto"/>
              <w:jc w:val="right"/>
              <w:rPr>
                <w:rFonts w:hint="default"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b/>
                <w:bCs/>
                <w:sz w:val="24"/>
                <w:szCs w:val="24"/>
                <w:lang w:val="ru-RU"/>
              </w:rPr>
              <w:t>0</w:t>
            </w:r>
          </w:p>
        </w:tc>
        <w:tc>
          <w:tcPr>
            <w:tcW w:w="1658" w:type="dxa"/>
            <w:tcBorders>
              <w:top w:val="nil"/>
            </w:tcBorders>
            <w:shd w:val="clear" w:color="auto" w:fill="auto"/>
            <w:noWrap/>
            <w:vAlign w:val="bottom"/>
          </w:tcPr>
          <w:p w14:paraId="3FB4D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nil"/>
            </w:tcBorders>
            <w:shd w:val="clear" w:color="auto" w:fill="auto"/>
            <w:noWrap/>
            <w:vAlign w:val="bottom"/>
          </w:tcPr>
          <w:p w14:paraId="17CD86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0E60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shd w:val="clear" w:color="auto" w:fill="auto"/>
            <w:noWrap/>
            <w:vAlign w:val="bottom"/>
          </w:tcPr>
          <w:p w14:paraId="31B678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7" w:type="dxa"/>
            <w:shd w:val="clear" w:color="auto" w:fill="auto"/>
            <w:noWrap/>
            <w:vAlign w:val="bottom"/>
          </w:tcPr>
          <w:p w14:paraId="403C70A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658" w:type="dxa"/>
            <w:shd w:val="clear" w:color="auto" w:fill="auto"/>
            <w:noWrap/>
            <w:vAlign w:val="bottom"/>
          </w:tcPr>
          <w:p w14:paraId="69B980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shd w:val="clear" w:color="auto" w:fill="auto"/>
            <w:noWrap/>
            <w:vAlign w:val="bottom"/>
          </w:tcPr>
          <w:p w14:paraId="0C72F3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4A49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shd w:val="clear" w:color="auto" w:fill="D8D8D8" w:themeFill="background1" w:themeFillShade="D9"/>
            <w:noWrap/>
            <w:vAlign w:val="bottom"/>
          </w:tcPr>
          <w:p w14:paraId="02FA7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7" w:type="dxa"/>
            <w:shd w:val="clear" w:color="auto" w:fill="D8D8D8" w:themeFill="background1" w:themeFillShade="D9"/>
            <w:noWrap/>
            <w:vAlign w:val="bottom"/>
          </w:tcPr>
          <w:p w14:paraId="5E95AD2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1658" w:type="dxa"/>
            <w:shd w:val="clear" w:color="auto" w:fill="D8D8D8" w:themeFill="background1" w:themeFillShade="D9"/>
            <w:noWrap/>
            <w:vAlign w:val="bottom"/>
          </w:tcPr>
          <w:p w14:paraId="2F20ED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shd w:val="clear" w:color="auto" w:fill="D8D8D8" w:themeFill="background1" w:themeFillShade="D9"/>
            <w:vAlign w:val="center"/>
          </w:tcPr>
          <w:p w14:paraId="1D45A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0E8E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shd w:val="clear" w:color="auto" w:fill="auto"/>
            <w:noWrap/>
            <w:vAlign w:val="bottom"/>
          </w:tcPr>
          <w:p w14:paraId="088079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97" w:type="dxa"/>
            <w:shd w:val="clear" w:color="auto" w:fill="auto"/>
            <w:noWrap/>
            <w:vAlign w:val="bottom"/>
          </w:tcPr>
          <w:p w14:paraId="43CA11CF">
            <w:pPr>
              <w:spacing w:after="0" w:line="240" w:lineRule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Усть</w:t>
            </w:r>
            <w:r>
              <w:rPr>
                <w:rFonts w:hint="default" w:ascii="Times New Roman" w:hAnsi="Times New Roman"/>
                <w:b w:val="0"/>
                <w:bCs w:val="0"/>
                <w:sz w:val="24"/>
                <w:szCs w:val="24"/>
                <w:lang w:val="ru-RU"/>
              </w:rPr>
              <w:t>-Чульская врачебная амбулатория</w:t>
            </w:r>
          </w:p>
        </w:tc>
        <w:tc>
          <w:tcPr>
            <w:tcW w:w="1658" w:type="dxa"/>
            <w:shd w:val="clear" w:color="auto" w:fill="auto"/>
            <w:noWrap/>
            <w:vAlign w:val="bottom"/>
          </w:tcPr>
          <w:p w14:paraId="3A1A12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shd w:val="clear" w:color="auto" w:fill="auto"/>
            <w:vAlign w:val="center"/>
          </w:tcPr>
          <w:p w14:paraId="153582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6BFF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shd w:val="clear" w:color="auto" w:fill="auto"/>
            <w:noWrap/>
            <w:vAlign w:val="bottom"/>
          </w:tcPr>
          <w:p w14:paraId="417AA8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7" w:type="dxa"/>
            <w:shd w:val="clear" w:color="auto" w:fill="auto"/>
            <w:noWrap/>
            <w:vAlign w:val="bottom"/>
          </w:tcPr>
          <w:p w14:paraId="19944DC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658" w:type="dxa"/>
            <w:shd w:val="clear" w:color="auto" w:fill="auto"/>
            <w:noWrap/>
            <w:vAlign w:val="bottom"/>
          </w:tcPr>
          <w:p w14:paraId="69779D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shd w:val="clear" w:color="auto" w:fill="auto"/>
            <w:vAlign w:val="center"/>
          </w:tcPr>
          <w:p w14:paraId="2CE9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3803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shd w:val="clear" w:color="auto" w:fill="D8D8D8" w:themeFill="background1" w:themeFillShade="D9"/>
            <w:noWrap/>
            <w:vAlign w:val="bottom"/>
          </w:tcPr>
          <w:p w14:paraId="0D737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7" w:type="dxa"/>
            <w:shd w:val="clear" w:color="auto" w:fill="D8D8D8" w:themeFill="background1" w:themeFillShade="D9"/>
            <w:noWrap/>
            <w:vAlign w:val="bottom"/>
          </w:tcPr>
          <w:p w14:paraId="2275D81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ПРЕДПРИНИМТЕЛЬСТО (НКО)</w:t>
            </w:r>
          </w:p>
        </w:tc>
        <w:tc>
          <w:tcPr>
            <w:tcW w:w="1658" w:type="dxa"/>
            <w:shd w:val="clear" w:color="auto" w:fill="D8D8D8" w:themeFill="background1" w:themeFillShade="D9"/>
            <w:noWrap/>
            <w:vAlign w:val="bottom"/>
          </w:tcPr>
          <w:p w14:paraId="1DEEE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shd w:val="clear" w:color="auto" w:fill="D8D8D8" w:themeFill="background1" w:themeFillShade="D9"/>
            <w:vAlign w:val="center"/>
          </w:tcPr>
          <w:p w14:paraId="7071A9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4354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shd w:val="clear" w:color="auto" w:fill="auto"/>
            <w:noWrap/>
            <w:vAlign w:val="bottom"/>
          </w:tcPr>
          <w:p w14:paraId="792D2D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97" w:type="dxa"/>
            <w:shd w:val="clear" w:color="auto" w:fill="auto"/>
            <w:noWrap/>
            <w:vAlign w:val="bottom"/>
          </w:tcPr>
          <w:p w14:paraId="553CCE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noWrap/>
            <w:vAlign w:val="bottom"/>
          </w:tcPr>
          <w:p w14:paraId="18D3D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shd w:val="clear" w:color="auto" w:fill="auto"/>
            <w:vAlign w:val="center"/>
          </w:tcPr>
          <w:p w14:paraId="126BFF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747D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shd w:val="clear" w:color="auto" w:fill="auto"/>
            <w:noWrap/>
            <w:vAlign w:val="bottom"/>
          </w:tcPr>
          <w:p w14:paraId="1BFD5B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7" w:type="dxa"/>
            <w:shd w:val="clear" w:color="auto" w:fill="auto"/>
            <w:noWrap/>
            <w:vAlign w:val="bottom"/>
          </w:tcPr>
          <w:p w14:paraId="61A8EB6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658" w:type="dxa"/>
            <w:shd w:val="clear" w:color="auto" w:fill="auto"/>
            <w:noWrap/>
            <w:vAlign w:val="bottom"/>
          </w:tcPr>
          <w:p w14:paraId="285C2F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shd w:val="clear" w:color="auto" w:fill="auto"/>
            <w:vAlign w:val="center"/>
          </w:tcPr>
          <w:p w14:paraId="739CF3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906F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shd w:val="clear" w:color="auto" w:fill="D8D8D8" w:themeFill="background1" w:themeFillShade="D9"/>
            <w:noWrap/>
            <w:vAlign w:val="bottom"/>
          </w:tcPr>
          <w:p w14:paraId="497B33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7" w:type="dxa"/>
            <w:shd w:val="clear" w:color="auto" w:fill="D8D8D8" w:themeFill="background1" w:themeFillShade="D9"/>
            <w:noWrap/>
            <w:vAlign w:val="bottom"/>
          </w:tcPr>
          <w:p w14:paraId="166B6E5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ОБЩЕСТВЕННЫЕ 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Р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ГАНИЗАЦИИ</w:t>
            </w:r>
          </w:p>
        </w:tc>
        <w:tc>
          <w:tcPr>
            <w:tcW w:w="1658" w:type="dxa"/>
            <w:shd w:val="clear" w:color="auto" w:fill="D8D8D8" w:themeFill="background1" w:themeFillShade="D9"/>
            <w:noWrap/>
            <w:vAlign w:val="bottom"/>
          </w:tcPr>
          <w:p w14:paraId="327576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shd w:val="clear" w:color="auto" w:fill="D8D8D8" w:themeFill="background1" w:themeFillShade="D9"/>
            <w:vAlign w:val="center"/>
          </w:tcPr>
          <w:p w14:paraId="5F3E6D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C329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shd w:val="clear" w:color="auto" w:fill="auto"/>
            <w:noWrap/>
            <w:vAlign w:val="bottom"/>
          </w:tcPr>
          <w:p w14:paraId="1A5352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97" w:type="dxa"/>
            <w:shd w:val="clear" w:color="auto" w:fill="auto"/>
            <w:noWrap/>
            <w:vAlign w:val="bottom"/>
          </w:tcPr>
          <w:p w14:paraId="0994FC1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noWrap/>
            <w:vAlign w:val="bottom"/>
          </w:tcPr>
          <w:p w14:paraId="3398F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shd w:val="clear" w:color="auto" w:fill="auto"/>
            <w:vAlign w:val="center"/>
          </w:tcPr>
          <w:p w14:paraId="0E187A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6779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0" w:hRule="atLeast"/>
        </w:trPr>
        <w:tc>
          <w:tcPr>
            <w:tcW w:w="562" w:type="dxa"/>
            <w:shd w:val="clear" w:color="auto" w:fill="auto"/>
            <w:noWrap/>
            <w:vAlign w:val="bottom"/>
          </w:tcPr>
          <w:p w14:paraId="1B4F79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7" w:type="dxa"/>
            <w:shd w:val="clear" w:color="auto" w:fill="auto"/>
            <w:noWrap/>
            <w:vAlign w:val="bottom"/>
          </w:tcPr>
          <w:p w14:paraId="52EE10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658" w:type="dxa"/>
            <w:shd w:val="clear" w:color="auto" w:fill="auto"/>
            <w:noWrap/>
            <w:vAlign w:val="bottom"/>
          </w:tcPr>
          <w:p w14:paraId="1205D7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shd w:val="clear" w:color="auto" w:fill="auto"/>
            <w:vAlign w:val="center"/>
          </w:tcPr>
          <w:p w14:paraId="053251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2077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shd w:val="clear" w:color="auto" w:fill="auto"/>
            <w:noWrap/>
            <w:vAlign w:val="bottom"/>
          </w:tcPr>
          <w:p w14:paraId="6546DB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7" w:type="dxa"/>
            <w:shd w:val="clear" w:color="auto" w:fill="auto"/>
            <w:noWrap/>
            <w:vAlign w:val="bottom"/>
          </w:tcPr>
          <w:p w14:paraId="6A5B8D0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8" w:type="dxa"/>
            <w:shd w:val="clear" w:color="auto" w:fill="auto"/>
            <w:noWrap/>
            <w:vAlign w:val="bottom"/>
          </w:tcPr>
          <w:p w14:paraId="553E2F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shd w:val="clear" w:color="auto" w:fill="auto"/>
            <w:vAlign w:val="center"/>
          </w:tcPr>
          <w:p w14:paraId="4DB0C8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3C5C4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bookmarkEnd w:id="0"/>
    <w:p w14:paraId="50C8D0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.1 Электоральная история прошлые выборы (ГД 2021 год) </w:t>
      </w:r>
    </w:p>
    <w:tbl>
      <w:tblPr>
        <w:tblStyle w:val="1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5"/>
        <w:gridCol w:w="3235"/>
        <w:gridCol w:w="2068"/>
        <w:gridCol w:w="1916"/>
        <w:gridCol w:w="1681"/>
      </w:tblGrid>
      <w:tr w14:paraId="3DD16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5" w:type="dxa"/>
          </w:tcPr>
          <w:p w14:paraId="42E2E0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03551512"/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35" w:type="dxa"/>
          </w:tcPr>
          <w:p w14:paraId="14C8EE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068" w:type="dxa"/>
          </w:tcPr>
          <w:p w14:paraId="7B6D89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Субъект выдвижения</w:t>
            </w:r>
          </w:p>
        </w:tc>
        <w:tc>
          <w:tcPr>
            <w:tcW w:w="1916" w:type="dxa"/>
          </w:tcPr>
          <w:p w14:paraId="3440E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голосов</w:t>
            </w:r>
          </w:p>
        </w:tc>
        <w:tc>
          <w:tcPr>
            <w:tcW w:w="1681" w:type="dxa"/>
          </w:tcPr>
          <w:p w14:paraId="3A2879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голосов</w:t>
            </w:r>
          </w:p>
        </w:tc>
      </w:tr>
      <w:tr w14:paraId="00AEF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5" w:type="dxa"/>
          </w:tcPr>
          <w:p w14:paraId="249C2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35" w:type="dxa"/>
          </w:tcPr>
          <w:p w14:paraId="14D70D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8" w:type="dxa"/>
          </w:tcPr>
          <w:p w14:paraId="193C57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14:paraId="3AE8CB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</w:tcPr>
          <w:p w14:paraId="0FDBDC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50CB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5" w:type="dxa"/>
          </w:tcPr>
          <w:p w14:paraId="529C13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35" w:type="dxa"/>
          </w:tcPr>
          <w:p w14:paraId="48A598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68" w:type="dxa"/>
          </w:tcPr>
          <w:p w14:paraId="13D0B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6" w:type="dxa"/>
          </w:tcPr>
          <w:p w14:paraId="48E73E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</w:tcPr>
          <w:p w14:paraId="6A62A2C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14:paraId="3FCB4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5" w:type="dxa"/>
          </w:tcPr>
          <w:p w14:paraId="34DB7E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35" w:type="dxa"/>
          </w:tcPr>
          <w:p w14:paraId="637EB0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8" w:type="dxa"/>
          </w:tcPr>
          <w:p w14:paraId="0E4EB5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14:paraId="7CA03D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</w:tcPr>
          <w:p w14:paraId="2A6355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"/>
    </w:tbl>
    <w:p w14:paraId="6D8B1D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32217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18EFCE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.2 Перечень основных проблем, влияющих на избрание</w:t>
      </w:r>
    </w:p>
    <w:p w14:paraId="42E1BF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C38290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656035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AFCDE3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.1 Электоральная история прошлых выборов (по округам) </w:t>
      </w:r>
    </w:p>
    <w:p w14:paraId="35A53C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2A09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Многомандатный округ № 1</w:t>
      </w:r>
    </w:p>
    <w:p w14:paraId="2C33E4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Явка: </w:t>
      </w:r>
    </w:p>
    <w:tbl>
      <w:tblPr>
        <w:tblStyle w:val="1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3220"/>
        <w:gridCol w:w="2086"/>
        <w:gridCol w:w="1908"/>
        <w:gridCol w:w="1675"/>
      </w:tblGrid>
      <w:tr w14:paraId="6233C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</w:tcPr>
          <w:p w14:paraId="057539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20" w:type="dxa"/>
          </w:tcPr>
          <w:p w14:paraId="7D3E07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086" w:type="dxa"/>
          </w:tcPr>
          <w:p w14:paraId="4FB6B2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Субъект выдвижения</w:t>
            </w:r>
          </w:p>
        </w:tc>
        <w:tc>
          <w:tcPr>
            <w:tcW w:w="1908" w:type="dxa"/>
          </w:tcPr>
          <w:p w14:paraId="2EF284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голосов</w:t>
            </w:r>
          </w:p>
        </w:tc>
        <w:tc>
          <w:tcPr>
            <w:tcW w:w="1675" w:type="dxa"/>
          </w:tcPr>
          <w:p w14:paraId="28DA85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голосов</w:t>
            </w:r>
          </w:p>
        </w:tc>
      </w:tr>
      <w:tr w14:paraId="444E6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</w:tcPr>
          <w:p w14:paraId="78301A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0" w:type="dxa"/>
          </w:tcPr>
          <w:p w14:paraId="686369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</w:tcPr>
          <w:p w14:paraId="48DD5B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</w:tcPr>
          <w:p w14:paraId="6F062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</w:tcPr>
          <w:p w14:paraId="595F9E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7F3A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</w:tcPr>
          <w:p w14:paraId="0E2919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0" w:type="dxa"/>
          </w:tcPr>
          <w:p w14:paraId="59BB1A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86" w:type="dxa"/>
          </w:tcPr>
          <w:p w14:paraId="79F271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08" w:type="dxa"/>
          </w:tcPr>
          <w:p w14:paraId="650ACF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5" w:type="dxa"/>
          </w:tcPr>
          <w:p w14:paraId="6AC523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14:paraId="308E9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</w:tcPr>
          <w:p w14:paraId="4958E0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20" w:type="dxa"/>
          </w:tcPr>
          <w:p w14:paraId="71BA528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86" w:type="dxa"/>
          </w:tcPr>
          <w:p w14:paraId="13FC91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08" w:type="dxa"/>
          </w:tcPr>
          <w:p w14:paraId="5B631B9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5" w:type="dxa"/>
          </w:tcPr>
          <w:p w14:paraId="042593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7AB6A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C9E56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37595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86FB7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C84AF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B41E3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0190F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BB531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D738A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8C379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F0F21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2C17D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CE6C2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DD48D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247E5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5EEFA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FB35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AFAD9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7989D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9A085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34D5A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A01A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B7345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BDC3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E0DF3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0CD9C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DD694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C705F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29D9C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EF850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28258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F81FD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02A5D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BB211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0BC8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7CECA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EF303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69EDA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C1994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23B9B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48C3B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B0738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577EA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FB650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BB68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5179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57414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Исп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.: А.А.Боргоякова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>
      <w:pgSz w:w="11906" w:h="16838"/>
      <w:pgMar w:top="1134" w:right="850" w:bottom="709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8EB4DE"/>
    <w:multiLevelType w:val="singleLevel"/>
    <w:tmpl w:val="168EB4DE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FAF"/>
    <w:rsid w:val="00014B57"/>
    <w:rsid w:val="00064C87"/>
    <w:rsid w:val="000968E0"/>
    <w:rsid w:val="000A1CF1"/>
    <w:rsid w:val="001110F1"/>
    <w:rsid w:val="00120C57"/>
    <w:rsid w:val="0013387C"/>
    <w:rsid w:val="001451B2"/>
    <w:rsid w:val="00157338"/>
    <w:rsid w:val="001A24E2"/>
    <w:rsid w:val="001A77BE"/>
    <w:rsid w:val="001B41E9"/>
    <w:rsid w:val="002068D2"/>
    <w:rsid w:val="00210F21"/>
    <w:rsid w:val="00211BC9"/>
    <w:rsid w:val="00224384"/>
    <w:rsid w:val="00225247"/>
    <w:rsid w:val="00240D7C"/>
    <w:rsid w:val="0024153F"/>
    <w:rsid w:val="00242EF6"/>
    <w:rsid w:val="00243730"/>
    <w:rsid w:val="002452B6"/>
    <w:rsid w:val="0027590D"/>
    <w:rsid w:val="002818CD"/>
    <w:rsid w:val="002F3FA2"/>
    <w:rsid w:val="002F50B6"/>
    <w:rsid w:val="002F6452"/>
    <w:rsid w:val="00351678"/>
    <w:rsid w:val="003A26A4"/>
    <w:rsid w:val="003E6449"/>
    <w:rsid w:val="00436D05"/>
    <w:rsid w:val="004564C2"/>
    <w:rsid w:val="00471645"/>
    <w:rsid w:val="004800E8"/>
    <w:rsid w:val="00497F9D"/>
    <w:rsid w:val="005135D8"/>
    <w:rsid w:val="00551E89"/>
    <w:rsid w:val="005A68E9"/>
    <w:rsid w:val="005A6EFC"/>
    <w:rsid w:val="005A6FAF"/>
    <w:rsid w:val="005B4019"/>
    <w:rsid w:val="005F36A8"/>
    <w:rsid w:val="005F5E16"/>
    <w:rsid w:val="0060110D"/>
    <w:rsid w:val="00621166"/>
    <w:rsid w:val="0062417A"/>
    <w:rsid w:val="00626764"/>
    <w:rsid w:val="00660EA2"/>
    <w:rsid w:val="00670505"/>
    <w:rsid w:val="00683B9E"/>
    <w:rsid w:val="006912C1"/>
    <w:rsid w:val="006E36AA"/>
    <w:rsid w:val="00746165"/>
    <w:rsid w:val="0076516F"/>
    <w:rsid w:val="007718A3"/>
    <w:rsid w:val="007A375A"/>
    <w:rsid w:val="007F752E"/>
    <w:rsid w:val="00832694"/>
    <w:rsid w:val="008333A7"/>
    <w:rsid w:val="00842898"/>
    <w:rsid w:val="00856F49"/>
    <w:rsid w:val="00886ABD"/>
    <w:rsid w:val="00896F2B"/>
    <w:rsid w:val="008A006A"/>
    <w:rsid w:val="008A5257"/>
    <w:rsid w:val="008B278E"/>
    <w:rsid w:val="008E4E5E"/>
    <w:rsid w:val="00921C72"/>
    <w:rsid w:val="00927855"/>
    <w:rsid w:val="00932A58"/>
    <w:rsid w:val="00932B8F"/>
    <w:rsid w:val="00990B02"/>
    <w:rsid w:val="009F7A64"/>
    <w:rsid w:val="00A020AF"/>
    <w:rsid w:val="00A06B63"/>
    <w:rsid w:val="00A20234"/>
    <w:rsid w:val="00A254B7"/>
    <w:rsid w:val="00A316BF"/>
    <w:rsid w:val="00A500A4"/>
    <w:rsid w:val="00A9028E"/>
    <w:rsid w:val="00A97B54"/>
    <w:rsid w:val="00AB517E"/>
    <w:rsid w:val="00AC413A"/>
    <w:rsid w:val="00AF3318"/>
    <w:rsid w:val="00B11137"/>
    <w:rsid w:val="00B30425"/>
    <w:rsid w:val="00B40831"/>
    <w:rsid w:val="00B577D6"/>
    <w:rsid w:val="00B63EB2"/>
    <w:rsid w:val="00BA3B83"/>
    <w:rsid w:val="00BA660E"/>
    <w:rsid w:val="00BC39A1"/>
    <w:rsid w:val="00BF4195"/>
    <w:rsid w:val="00BF4CC6"/>
    <w:rsid w:val="00C21D88"/>
    <w:rsid w:val="00C7698E"/>
    <w:rsid w:val="00C77E02"/>
    <w:rsid w:val="00CA2EA8"/>
    <w:rsid w:val="00CB6FF8"/>
    <w:rsid w:val="00CF214B"/>
    <w:rsid w:val="00D0252D"/>
    <w:rsid w:val="00D03139"/>
    <w:rsid w:val="00D34AA2"/>
    <w:rsid w:val="00D92AE7"/>
    <w:rsid w:val="00DF0A74"/>
    <w:rsid w:val="00DF6DCF"/>
    <w:rsid w:val="00E339DF"/>
    <w:rsid w:val="00E36AC2"/>
    <w:rsid w:val="00EB3813"/>
    <w:rsid w:val="00EC1355"/>
    <w:rsid w:val="00F0158A"/>
    <w:rsid w:val="00F258EC"/>
    <w:rsid w:val="00FC0843"/>
    <w:rsid w:val="00FD173E"/>
    <w:rsid w:val="05812C75"/>
    <w:rsid w:val="08B6090D"/>
    <w:rsid w:val="16752E54"/>
    <w:rsid w:val="16F63499"/>
    <w:rsid w:val="1CA4178D"/>
    <w:rsid w:val="1D297B19"/>
    <w:rsid w:val="24D65258"/>
    <w:rsid w:val="27E4687E"/>
    <w:rsid w:val="28577D08"/>
    <w:rsid w:val="29B24919"/>
    <w:rsid w:val="2CC63D19"/>
    <w:rsid w:val="2EBB79FC"/>
    <w:rsid w:val="348311CF"/>
    <w:rsid w:val="360F252A"/>
    <w:rsid w:val="36B12EC2"/>
    <w:rsid w:val="38A9151C"/>
    <w:rsid w:val="4E330B6A"/>
    <w:rsid w:val="57E61AE3"/>
    <w:rsid w:val="58AB175F"/>
    <w:rsid w:val="5EA8390F"/>
    <w:rsid w:val="66E62A07"/>
    <w:rsid w:val="6BF52CD3"/>
    <w:rsid w:val="6E5D4517"/>
    <w:rsid w:val="6EE824C6"/>
    <w:rsid w:val="738A3D50"/>
    <w:rsid w:val="7AD52A42"/>
    <w:rsid w:val="7BCF1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ru-RU" w:eastAsia="en-US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4">
    <w:name w:val="header"/>
    <w:basedOn w:val="1"/>
    <w:link w:val="39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5">
    <w:name w:val="Title"/>
    <w:basedOn w:val="1"/>
    <w:next w:val="1"/>
    <w:link w:val="29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6">
    <w:name w:val="footer"/>
    <w:basedOn w:val="1"/>
    <w:link w:val="40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7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ru-RU"/>
      <w14:ligatures w14:val="none"/>
    </w:rPr>
  </w:style>
  <w:style w:type="paragraph" w:styleId="18">
    <w:name w:val="Subtitle"/>
    <w:basedOn w:val="1"/>
    <w:next w:val="1"/>
    <w:link w:val="30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9">
    <w:name w:val="Table Grid"/>
    <w:basedOn w:val="1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0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1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Заголовок 3 Знак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3">
    <w:name w:val="Заголовок 4 Знак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4">
    <w:name w:val="Заголовок 5 Знак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5">
    <w:name w:val="Заголовок 6 Знак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Заголовок 7 Знак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Заголовок 8 Знак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8">
    <w:name w:val="Заголовок 9 Знак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9">
    <w:name w:val="Название Знак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Подзаголовок Знак"/>
    <w:basedOn w:val="11"/>
    <w:link w:val="18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Цитата 2 Знак"/>
    <w:basedOn w:val="11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6">
    <w:name w:val="Выделенная цитата Знак"/>
    <w:basedOn w:val="11"/>
    <w:link w:val="35"/>
    <w:qFormat/>
    <w:uiPriority w:val="30"/>
    <w:rPr>
      <w:i/>
      <w:iCs/>
      <w:color w:val="2F5597" w:themeColor="accent1" w:themeShade="BF"/>
    </w:rPr>
  </w:style>
  <w:style w:type="character" w:customStyle="1" w:styleId="37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9">
    <w:name w:val="Верхний колонтитул Знак"/>
    <w:basedOn w:val="11"/>
    <w:link w:val="14"/>
    <w:qFormat/>
    <w:uiPriority w:val="99"/>
  </w:style>
  <w:style w:type="character" w:customStyle="1" w:styleId="40">
    <w:name w:val="Нижний колонтитул Знак"/>
    <w:basedOn w:val="11"/>
    <w:link w:val="16"/>
    <w:qFormat/>
    <w:uiPriority w:val="99"/>
  </w:style>
  <w:style w:type="paragraph" w:customStyle="1" w:styleId="41">
    <w:name w:val="Основной текст5"/>
    <w:basedOn w:val="1"/>
    <w:qFormat/>
    <w:uiPriority w:val="0"/>
    <w:pPr>
      <w:widowControl w:val="0"/>
      <w:shd w:val="clear" w:color="auto" w:fill="FFFFFF"/>
      <w:spacing w:after="60" w:line="0" w:lineRule="atLeast"/>
      <w:jc w:val="right"/>
    </w:pPr>
    <w:rPr>
      <w:rFonts w:ascii="Times New Roman" w:hAnsi="Times New Roman" w:eastAsia="Times New Roman" w:cs="Times New Roman"/>
      <w:spacing w:val="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85B0B6-C64F-4F6A-A0AF-1F892186F8A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816</Words>
  <Characters>4652</Characters>
  <Lines>38</Lines>
  <Paragraphs>10</Paragraphs>
  <TotalTime>37</TotalTime>
  <ScaleCrop>false</ScaleCrop>
  <LinksUpToDate>false</LinksUpToDate>
  <CharactersWithSpaces>5458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2025-12-11T02:52:00Z</dcterms:created>
  <dc:creator>User</dc:creator>
  <cp:lastModifiedBy>user</cp:lastModifiedBy>
  <cp:lastPrinted>2026-02-04T08:44:00Z</cp:lastPrinted>
  <dcterms:modified xsi:type="dcterms:W3CDTF">2026-03-23T04:32:40Z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51DF5930416A460EAF521560E1B01C85_13</vt:lpwstr>
  </property>
</Properties>
</file>