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7406C">
      <w:pPr>
        <w:pStyle w:val="8"/>
        <w:tabs>
          <w:tab w:val="left" w:pos="9355"/>
        </w:tabs>
        <w:spacing w:before="0" w:beforeAutospacing="0" w:after="0" w:afterAutospacing="0"/>
        <w:ind w:right="-1"/>
        <w:jc w:val="center"/>
        <w:rPr>
          <w:rFonts w:hint="default"/>
          <w:b/>
          <w:bCs/>
          <w:color w:val="000000"/>
          <w:spacing w:val="-1"/>
          <w:sz w:val="28"/>
          <w:szCs w:val="28"/>
          <w:lang w:val="ru-RU"/>
        </w:rPr>
      </w:pPr>
      <w:r>
        <w:rPr>
          <w:b/>
          <w:bCs/>
          <w:color w:val="000000"/>
          <w:spacing w:val="-1"/>
          <w:sz w:val="28"/>
          <w:szCs w:val="28"/>
          <w:lang w:val="ru-RU"/>
        </w:rPr>
        <w:t>РОССИЙСКАЯ</w:t>
      </w:r>
      <w:r>
        <w:rPr>
          <w:rFonts w:hint="default"/>
          <w:b/>
          <w:bCs/>
          <w:color w:val="000000"/>
          <w:spacing w:val="-1"/>
          <w:sz w:val="28"/>
          <w:szCs w:val="28"/>
          <w:lang w:val="ru-RU"/>
        </w:rPr>
        <w:t xml:space="preserve"> ФЕДЕРАЦИЯ</w:t>
      </w:r>
    </w:p>
    <w:p w14:paraId="2E71F618">
      <w:pPr>
        <w:pStyle w:val="8"/>
        <w:tabs>
          <w:tab w:val="left" w:pos="9355"/>
        </w:tabs>
        <w:spacing w:before="0" w:beforeAutospacing="0" w:after="0" w:afterAutospacing="0"/>
        <w:ind w:right="-1"/>
        <w:jc w:val="center"/>
        <w:rPr>
          <w:rFonts w:hint="default"/>
          <w:b/>
          <w:bCs/>
          <w:color w:val="000000"/>
          <w:spacing w:val="-1"/>
          <w:sz w:val="28"/>
          <w:szCs w:val="28"/>
          <w:lang w:val="ru-RU"/>
        </w:rPr>
      </w:pPr>
      <w:r>
        <w:rPr>
          <w:rFonts w:hint="default"/>
          <w:b/>
          <w:bCs/>
          <w:color w:val="000000"/>
          <w:spacing w:val="-1"/>
          <w:sz w:val="28"/>
          <w:szCs w:val="28"/>
          <w:lang w:val="ru-RU"/>
        </w:rPr>
        <w:t>РЕСПУБЛИКА ХАКАСИЯ</w:t>
      </w:r>
    </w:p>
    <w:p w14:paraId="193C41B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СОВЕТ ДЕПУТАТОВ СЕЛЬСКОГО ПОСЕЛЕНИЯ </w:t>
      </w:r>
    </w:p>
    <w:p w14:paraId="1AFF5B7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УСТЬ-ЧУЛЬСКОГО СЕЛЬСОВЕТА </w:t>
      </w:r>
    </w:p>
    <w:p w14:paraId="7067402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АСКИЗСКОГО МУНИЦИПАЛЬНОГО РАЙОНА </w:t>
      </w:r>
    </w:p>
    <w:p w14:paraId="2D5C062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ab/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>РЕСПУБЛИКИ ХАКАСИЯ</w:t>
      </w:r>
    </w:p>
    <w:p w14:paraId="2F453089">
      <w:pPr>
        <w:tabs>
          <w:tab w:val="left" w:pos="851"/>
        </w:tabs>
        <w:spacing w:after="0" w:line="240" w:lineRule="auto"/>
        <w:ind w:firstLine="4162" w:firstLineChars="1600"/>
        <w:jc w:val="both"/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>пятого</w:t>
      </w: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 xml:space="preserve"> созыва</w:t>
      </w:r>
    </w:p>
    <w:p w14:paraId="3D4F9505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</w:p>
    <w:p w14:paraId="290781EE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pPr>
      <w:r>
        <w:rPr>
          <w:rFonts w:hint="default" w:ascii="Times New Roman" w:hAnsi="Times New Roman" w:eastAsia="Times New Roman"/>
          <w:b/>
          <w:bCs/>
          <w:sz w:val="26"/>
          <w:szCs w:val="26"/>
          <w:lang w:val="en-US" w:eastAsia="ru-RU"/>
        </w:rPr>
        <w:t xml:space="preserve">      </w:t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РЕШЕНИЕ </w:t>
      </w:r>
    </w:p>
    <w:p w14:paraId="5EDDAB6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</w:p>
    <w:p w14:paraId="102CD8AE">
      <w:pPr>
        <w:tabs>
          <w:tab w:val="left" w:pos="851"/>
        </w:tabs>
        <w:spacing w:after="0" w:line="240" w:lineRule="auto"/>
        <w:rPr>
          <w:rFonts w:hint="default" w:ascii="Times New Roman" w:hAnsi="Times New Roman" w:eastAsia="Times New Roman"/>
          <w:sz w:val="26"/>
          <w:szCs w:val="26"/>
          <w:lang w:val="en-US" w:eastAsia="ru-RU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  </w:t>
      </w:r>
      <w:r>
        <w:rPr>
          <w:rFonts w:hint="default" w:ascii="Times New Roman" w:hAnsi="Times New Roman" w:eastAsia="Times New Roman"/>
          <w:sz w:val="26"/>
          <w:szCs w:val="26"/>
          <w:lang w:val="en-US" w:eastAsia="ru-RU"/>
        </w:rPr>
        <w:t>10</w:t>
      </w:r>
      <w:bookmarkStart w:id="0" w:name="_GoBack"/>
      <w:bookmarkEnd w:id="0"/>
      <w:r>
        <w:rPr>
          <w:rFonts w:hint="default" w:ascii="Times New Roman" w:hAnsi="Times New Roman" w:eastAsia="Times New Roman"/>
          <w:sz w:val="26"/>
          <w:szCs w:val="26"/>
          <w:lang w:val="en-US" w:eastAsia="ru-RU"/>
        </w:rPr>
        <w:t>.09.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2026 г.                                    с. Усть-Чуль                                             № </w:t>
      </w:r>
      <w:r>
        <w:rPr>
          <w:rFonts w:hint="default" w:ascii="Times New Roman" w:hAnsi="Times New Roman" w:eastAsia="Times New Roman"/>
          <w:sz w:val="26"/>
          <w:szCs w:val="26"/>
          <w:lang w:val="en-US" w:eastAsia="ru-RU"/>
        </w:rPr>
        <w:t>43</w:t>
      </w:r>
    </w:p>
    <w:p w14:paraId="7714B04D">
      <w:pPr>
        <w:tabs>
          <w:tab w:val="left" w:pos="851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</w:pPr>
    </w:p>
    <w:p w14:paraId="43788393">
      <w:pPr>
        <w:pStyle w:val="8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8"/>
        </w:rPr>
      </w:pPr>
      <w:r>
        <w:rPr>
          <w:b/>
          <w:bCs/>
          <w:color w:val="000000"/>
          <w:spacing w:val="-1"/>
          <w:sz w:val="26"/>
          <w:szCs w:val="28"/>
        </w:rPr>
        <w:t xml:space="preserve">О внесении изменений и дополнений в решение Совета депутатов </w:t>
      </w:r>
    </w:p>
    <w:p w14:paraId="31D4DC5B">
      <w:pPr>
        <w:pStyle w:val="8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8"/>
        </w:rPr>
      </w:pPr>
      <w:r>
        <w:rPr>
          <w:b/>
          <w:bCs/>
          <w:color w:val="000000"/>
          <w:spacing w:val="-1"/>
          <w:sz w:val="26"/>
          <w:szCs w:val="28"/>
        </w:rPr>
        <w:t xml:space="preserve">Усть-Чульского сельсовета от 25.12.2020 № 17 «Об утверждении Положения </w:t>
      </w:r>
    </w:p>
    <w:p w14:paraId="2D16420F">
      <w:pPr>
        <w:pStyle w:val="8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8"/>
        </w:rPr>
      </w:pPr>
      <w:r>
        <w:rPr>
          <w:b/>
          <w:bCs/>
          <w:color w:val="000000"/>
          <w:spacing w:val="-1"/>
          <w:sz w:val="26"/>
          <w:szCs w:val="28"/>
        </w:rPr>
        <w:t>«О сохранении, использовании и популяризации объектов культурного наследия, находящихся в собственности  муниципального образования Усть-Чульский сельсовет»</w:t>
      </w:r>
    </w:p>
    <w:p w14:paraId="77F7C89D">
      <w:pPr>
        <w:pStyle w:val="8"/>
        <w:tabs>
          <w:tab w:val="left" w:pos="9355"/>
        </w:tabs>
        <w:spacing w:before="0" w:beforeAutospacing="0" w:after="0" w:afterAutospacing="0" w:line="240" w:lineRule="exact"/>
        <w:ind w:firstLine="567"/>
        <w:jc w:val="center"/>
        <w:rPr>
          <w:color w:val="000000"/>
          <w:sz w:val="26"/>
          <w:szCs w:val="28"/>
        </w:rPr>
      </w:pPr>
      <w:r>
        <w:rPr>
          <w:b/>
          <w:bCs/>
          <w:color w:val="000000"/>
          <w:spacing w:val="-1"/>
          <w:sz w:val="26"/>
          <w:szCs w:val="28"/>
        </w:rPr>
        <w:t> </w:t>
      </w:r>
    </w:p>
    <w:p w14:paraId="410F0FD7">
      <w:pPr>
        <w:pStyle w:val="8"/>
        <w:tabs>
          <w:tab w:val="left" w:pos="9355"/>
        </w:tabs>
        <w:spacing w:before="0" w:beforeAutospacing="0" w:after="0" w:afterAutospacing="0"/>
        <w:ind w:left="708" w:right="-1"/>
        <w:jc w:val="both"/>
        <w:rPr>
          <w:sz w:val="26"/>
          <w:szCs w:val="28"/>
        </w:rPr>
      </w:pPr>
      <w:r>
        <w:rPr>
          <w:sz w:val="26"/>
          <w:szCs w:val="28"/>
        </w:rPr>
        <w:tab/>
      </w:r>
      <w:r>
        <w:rPr>
          <w:sz w:val="26"/>
          <w:szCs w:val="28"/>
        </w:rPr>
        <w:t xml:space="preserve">     В соответствии с Федеральным </w:t>
      </w:r>
      <w:r>
        <w:fldChar w:fldCharType="begin"/>
      </w:r>
      <w:r>
        <w:instrText xml:space="preserve"> HYPERLINK "consultantplus://offline/ref=5093482A55209D15A6D05621B3E289D8B4A83E9A73D3F159585A8ED951B3D076819C2A4413D968F078C31038708D321D72964B379370D3AER033E" </w:instrText>
      </w:r>
      <w:r>
        <w:fldChar w:fldCharType="separate"/>
      </w:r>
      <w:r>
        <w:rPr>
          <w:sz w:val="26"/>
          <w:szCs w:val="28"/>
        </w:rPr>
        <w:t>законом</w:t>
      </w:r>
      <w:r>
        <w:rPr>
          <w:sz w:val="26"/>
          <w:szCs w:val="28"/>
        </w:rPr>
        <w:fldChar w:fldCharType="end"/>
      </w:r>
      <w:r>
        <w:rPr>
          <w:sz w:val="26"/>
          <w:szCs w:val="28"/>
        </w:rPr>
        <w:t xml:space="preserve"> от 06.10.2003  № 131-ФЗ «Об общих</w:t>
      </w:r>
    </w:p>
    <w:p w14:paraId="0CD4AC51">
      <w:pPr>
        <w:pStyle w:val="8"/>
        <w:tabs>
          <w:tab w:val="left" w:pos="9355"/>
        </w:tabs>
        <w:spacing w:before="0" w:beforeAutospacing="0" w:after="0" w:afterAutospacing="0"/>
        <w:ind w:left="27" w:right="-1"/>
        <w:jc w:val="both"/>
        <w:rPr>
          <w:b/>
          <w:color w:val="000000"/>
          <w:sz w:val="26"/>
          <w:szCs w:val="28"/>
        </w:rPr>
      </w:pPr>
      <w:r>
        <w:rPr>
          <w:sz w:val="26"/>
          <w:szCs w:val="28"/>
        </w:rPr>
        <w:t xml:space="preserve"> принципах организации местного самоуправления в Российской Федерации» (с последующими изменениями), в целях реализации Федерального </w:t>
      </w:r>
      <w:r>
        <w:fldChar w:fldCharType="begin"/>
      </w:r>
      <w:r>
        <w:instrText xml:space="preserve"> HYPERLINK "consultantplus://offline/ref=5093482A55209D15A6D05621B3E289D8B4A83E9A77D1F159585A8ED951B3D076819C2A4D10D963A0288C116435D0211C7F9649328FR732E" </w:instrText>
      </w:r>
      <w:r>
        <w:fldChar w:fldCharType="separate"/>
      </w:r>
      <w:r>
        <w:rPr>
          <w:sz w:val="26"/>
          <w:szCs w:val="28"/>
        </w:rPr>
        <w:t>закона</w:t>
      </w:r>
      <w:r>
        <w:rPr>
          <w:sz w:val="26"/>
          <w:szCs w:val="28"/>
        </w:rPr>
        <w:fldChar w:fldCharType="end"/>
      </w:r>
      <w:r>
        <w:rPr>
          <w:sz w:val="26"/>
          <w:szCs w:val="28"/>
        </w:rPr>
        <w:t xml:space="preserve"> от 25.06.2002 № 73-ФЗ «Об объектах культурного наследия (памятниках истории и культуры) народов Российской Федерации» (с последующими изменениями), руководствуясь пунктом 19 части 1 статьи 5 </w:t>
      </w:r>
      <w:r>
        <w:rPr>
          <w:color w:val="000000"/>
          <w:spacing w:val="2"/>
          <w:sz w:val="26"/>
          <w:szCs w:val="28"/>
        </w:rPr>
        <w:t xml:space="preserve"> </w:t>
      </w:r>
      <w:r>
        <w:rPr>
          <w:color w:val="000000"/>
          <w:sz w:val="26"/>
          <w:szCs w:val="28"/>
        </w:rPr>
        <w:t xml:space="preserve">Устава сельского поселения  Усть-Чульский сельсовет Аскизского муниципального района Республики Хакасия  от 24.11.2025 №11, Совет депутатов  сельского поселения  Усть-Чульский сельсовет  </w:t>
      </w:r>
      <w:r>
        <w:rPr>
          <w:b/>
          <w:color w:val="000000"/>
          <w:sz w:val="26"/>
          <w:szCs w:val="28"/>
        </w:rPr>
        <w:t>РЕШИЛ:</w:t>
      </w:r>
    </w:p>
    <w:p w14:paraId="730E39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 1. Внести в </w:t>
      </w:r>
      <w:r>
        <w:fldChar w:fldCharType="begin"/>
      </w:r>
      <w:r>
        <w:instrText xml:space="preserve"> HYPERLINK \l "Par32" </w:instrText>
      </w:r>
      <w:r>
        <w:fldChar w:fldCharType="separate"/>
      </w:r>
      <w:r>
        <w:rPr>
          <w:rFonts w:ascii="Times New Roman" w:hAnsi="Times New Roman"/>
          <w:sz w:val="26"/>
          <w:szCs w:val="28"/>
          <w:lang w:eastAsia="ru-RU"/>
        </w:rPr>
        <w:t>Положение</w:t>
      </w:r>
      <w:r>
        <w:rPr>
          <w:rFonts w:ascii="Times New Roman" w:hAnsi="Times New Roman"/>
          <w:sz w:val="26"/>
          <w:szCs w:val="28"/>
          <w:lang w:eastAsia="ru-RU"/>
        </w:rPr>
        <w:fldChar w:fldCharType="end"/>
      </w:r>
      <w:r>
        <w:rPr>
          <w:rFonts w:ascii="Times New Roman" w:hAnsi="Times New Roman"/>
          <w:sz w:val="26"/>
          <w:szCs w:val="28"/>
          <w:lang w:eastAsia="ru-RU"/>
        </w:rPr>
        <w:t xml:space="preserve">  от 25.12.2020 № 17 «О сохранении, использовании и популяризации объектов культурного наследия, находящихся в собственности муниципального образования Усть-Чульский сельсовет» следующие изменения и дополнения:</w:t>
      </w:r>
    </w:p>
    <w:p w14:paraId="738E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1) пункт 2.1. части 2 Положения дополнить подпунктом «г» следующего содержания:</w:t>
      </w:r>
    </w:p>
    <w:p w14:paraId="35A90E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«г) обеспечение условий доступности для инвалидов объектов культурного наследия, находящихся в собственности поселения.»;</w:t>
      </w:r>
    </w:p>
    <w:p w14:paraId="06327A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пункт 6.2 Положения дополнить подпунктами «а», «б», «в», «г» следующего содержания:</w:t>
      </w:r>
    </w:p>
    <w:p w14:paraId="7C3AE4F2">
      <w:pPr>
        <w:pStyle w:val="8"/>
        <w:spacing w:after="300"/>
        <w:jc w:val="both"/>
        <w:rPr>
          <w:sz w:val="26"/>
          <w:szCs w:val="28"/>
        </w:rPr>
      </w:pPr>
      <w:r>
        <w:rPr>
          <w:rFonts w:eastAsia="serif"/>
          <w:sz w:val="26"/>
          <w:shd w:val="clear" w:color="auto" w:fill="FFFFFF"/>
        </w:rPr>
        <w:t xml:space="preserve"> </w:t>
      </w:r>
      <w:r>
        <w:rPr>
          <w:rFonts w:eastAsia="serif"/>
          <w:sz w:val="26"/>
          <w:shd w:val="clear" w:color="auto" w:fill="FFFFFF"/>
        </w:rPr>
        <w:tab/>
      </w:r>
      <w:r>
        <w:rPr>
          <w:rFonts w:eastAsia="serif"/>
          <w:sz w:val="26"/>
          <w:szCs w:val="28"/>
          <w:shd w:val="clear" w:color="auto" w:fill="FFFFFF"/>
        </w:rPr>
        <w:t>«а) в случае, если к моменту заключения договора, предусматривающего передачу права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в отношении указанного объекта, земельного участка действует охранное обязательство, такой договор должен содержать в качестве существенного условия обязательство лица, у которого на основании такого договора возникает право собственности на указанное имущество или право владения и (или) пользования этим имуществом, по выполнению требований, предусмотренных соответствующим охранным обязательством, порядок и условия их выполнения. В случае отсутствия в договоре предусмотренного настоящим пунктом существенного условия сделка является ничтожной.</w:t>
      </w:r>
    </w:p>
    <w:p w14:paraId="7A604CE3">
      <w:pPr>
        <w:pStyle w:val="8"/>
        <w:spacing w:after="300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Копия охранного обязательства является неотъемлемой частью договора</w:t>
      </w:r>
    </w:p>
    <w:p w14:paraId="29270499">
      <w:pPr>
        <w:pStyle w:val="8"/>
        <w:spacing w:after="300"/>
        <w:ind w:firstLine="708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«б) до утверждения в порядке, охранного обязательства на объект культурного наследия, включенный в реестр, земельный участок, в границах которого располагается объект археологического наследия, к договорам, прилагаются иные действующие охранные документы: охранно-арендный договор, охранный договор или охранное обязательство в отношении памятника истории и культуры, охранное обязательство собственника объекта культурного наследия или охранное обязательство пользователя объектом культурного наследия, а также паспорт объекта культурного наследия (при его наличии);»;</w:t>
      </w:r>
    </w:p>
    <w:p w14:paraId="40BAE5FB">
      <w:pPr>
        <w:pStyle w:val="8"/>
        <w:spacing w:after="300"/>
        <w:ind w:firstLine="708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«в) в случае, если к моменту заключения договоров в отношении объекта культурного наследия, включенного в реестр, земельного участка, в границах которого располагается объект археологического наследия, являющихся объектами сделки, не оформлены охранные документы, лицо, у которого на основании указанных договоров возникает право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обязано выполнять требования в отношении объекта культурного наследия, включенного в реестр, соблюдать  особый режим использования земельного участка, в границах которого располагается объект археологического наследия, до момента вручения такому лицу охранного обязательства.</w:t>
      </w:r>
    </w:p>
    <w:p w14:paraId="16139923">
      <w:pPr>
        <w:pStyle w:val="8"/>
        <w:spacing w:after="300"/>
        <w:ind w:firstLine="708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После получения указанного охранного обязательства лицом, которому объект культурного наследия, включенный в реестр, земельный участок, в границах которого располагается объект археологического наследия, принадлежат на праве собственности или ином вещном праве, указанное лицо обязано обеспечить внесение в договоры, предусматривающие передачу третьим лицам права владения и (или) пользования таким объектом, изменений, предусматривающих в качестве существенного условия обязательство лица, во владении и (или) в пользовании которого находится указанное имущество, по выполнению требований, предусмотренных охранным обязательством, а также порядок и условия их выполнения.</w:t>
      </w:r>
    </w:p>
    <w:p w14:paraId="50065FAE">
      <w:pPr>
        <w:pStyle w:val="8"/>
        <w:spacing w:after="300"/>
        <w:ind w:firstLine="708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Действие настоящего пункта распространяется на случаи заключения договоров, предусматривающих передачу прав владения и (или) пользования объектом культурного наследия, включенным в реестр, земельным участком, в границах которого располагается объект археологического наследия, между лицами, которые приобрели указанное право на основании договоров, и третьими лицами (договор субаренды и другие договоры;»;</w:t>
      </w:r>
    </w:p>
    <w:p w14:paraId="21192AF5">
      <w:pPr>
        <w:pStyle w:val="8"/>
        <w:spacing w:after="300"/>
        <w:ind w:firstLine="540"/>
        <w:jc w:val="both"/>
        <w:rPr>
          <w:sz w:val="26"/>
          <w:szCs w:val="28"/>
        </w:rPr>
      </w:pPr>
      <w:r>
        <w:rPr>
          <w:rFonts w:eastAsia="serif"/>
          <w:sz w:val="26"/>
          <w:szCs w:val="28"/>
          <w:shd w:val="clear" w:color="auto" w:fill="FFFFFF"/>
        </w:rPr>
        <w:t>«г) договор, предусматривающий передачу права собственности на выявленный объект культурного наследия, прав владения и (или) пользования таким объектом, должен содержать в качестве существенного условия обязательство лица, у которого на основании такого договора возникают право собственности на такое имущество или права владения и (или) пользования таким имуществом, по выполнению требований, в отношении такого объекта. В случае отсутствия в таком договоре указанного существенного условия сделка является ничтожной.».</w:t>
      </w:r>
    </w:p>
    <w:p w14:paraId="1D377E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2. </w:t>
      </w:r>
      <w:r>
        <w:rPr>
          <w:rFonts w:ascii="Times New Roman" w:hAnsi="Times New Roman"/>
          <w:color w:val="000000"/>
          <w:sz w:val="26"/>
          <w:szCs w:val="28"/>
        </w:rPr>
        <w:t xml:space="preserve">Настоящее Решение подлежит опубликованию (обнародованию) и вступает в силу после </w:t>
      </w:r>
      <w:r>
        <w:rPr>
          <w:rFonts w:ascii="Times New Roman" w:hAnsi="Times New Roman"/>
          <w:sz w:val="26"/>
          <w:szCs w:val="28"/>
          <w:lang w:eastAsia="ru-RU"/>
        </w:rPr>
        <w:t xml:space="preserve"> его официального опубликования (обнародования).</w:t>
      </w:r>
    </w:p>
    <w:p w14:paraId="3FD3E5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8"/>
          <w:lang w:eastAsia="ru-RU"/>
        </w:rPr>
      </w:pPr>
    </w:p>
    <w:p w14:paraId="64C52748">
      <w:pPr>
        <w:ind w:firstLine="540"/>
        <w:jc w:val="both"/>
        <w:rPr>
          <w:rFonts w:ascii="Times New Roman" w:hAnsi="Times New Roman" w:eastAsia="Times New Roman"/>
          <w:color w:val="000000"/>
          <w:sz w:val="26"/>
          <w:szCs w:val="28"/>
          <w:lang w:eastAsia="ru-RU"/>
        </w:rPr>
      </w:pPr>
      <w:r>
        <w:rPr>
          <w:rFonts w:ascii="Times New Roman" w:hAnsi="Times New Roman"/>
          <w:color w:val="000000"/>
          <w:sz w:val="26"/>
          <w:szCs w:val="28"/>
        </w:rPr>
        <w:t>3. Контроль за исполнением настоящего решения возложить на постоянную комиссию Совета депутатов «</w:t>
      </w:r>
      <w:r>
        <w:rPr>
          <w:rFonts w:ascii="Times New Roman" w:hAnsi="Times New Roman" w:eastAsia="Times New Roman"/>
          <w:color w:val="000000"/>
          <w:sz w:val="26"/>
          <w:szCs w:val="28"/>
          <w:lang w:eastAsia="ru-RU"/>
        </w:rPr>
        <w:t>По здравоохранению, культуре, образованию и социальным вопросам, вопросам благоустройства и жилищно- коммунального хозяйства».</w:t>
      </w:r>
    </w:p>
    <w:p w14:paraId="0A3FF422">
      <w:pPr>
        <w:pStyle w:val="8"/>
        <w:tabs>
          <w:tab w:val="left" w:pos="9355"/>
        </w:tabs>
        <w:spacing w:before="0" w:beforeAutospacing="0" w:after="0" w:afterAutospacing="0"/>
        <w:ind w:right="-1" w:firstLine="567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> </w:t>
      </w:r>
    </w:p>
    <w:p w14:paraId="744B853B">
      <w:pPr>
        <w:pStyle w:val="8"/>
        <w:tabs>
          <w:tab w:val="left" w:pos="9355"/>
        </w:tabs>
        <w:spacing w:before="0" w:beforeAutospacing="0" w:after="0" w:afterAutospacing="0"/>
        <w:ind w:right="-1" w:firstLine="567"/>
        <w:jc w:val="both"/>
        <w:rPr>
          <w:color w:val="000000"/>
          <w:sz w:val="26"/>
          <w:szCs w:val="28"/>
        </w:rPr>
      </w:pPr>
    </w:p>
    <w:p w14:paraId="61A92271">
      <w:pPr>
        <w:pStyle w:val="8"/>
        <w:tabs>
          <w:tab w:val="left" w:pos="9355"/>
        </w:tabs>
        <w:spacing w:before="0" w:beforeAutospacing="0" w:after="0" w:afterAutospacing="0"/>
        <w:ind w:right="-1" w:firstLine="567"/>
        <w:jc w:val="both"/>
        <w:rPr>
          <w:color w:val="000000"/>
          <w:sz w:val="26"/>
          <w:szCs w:val="28"/>
        </w:rPr>
      </w:pPr>
    </w:p>
    <w:p w14:paraId="4C2CD273">
      <w:pPr>
        <w:pStyle w:val="8"/>
        <w:tabs>
          <w:tab w:val="left" w:pos="9355"/>
        </w:tabs>
        <w:spacing w:before="0" w:beforeAutospacing="0" w:after="0" w:afterAutospacing="0"/>
        <w:ind w:right="-1"/>
        <w:jc w:val="both"/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t>Глава Усть-Чульского сельсовета                                             З.А.Ултургашева</w:t>
      </w:r>
    </w:p>
    <w:p w14:paraId="44B5F248">
      <w:pPr>
        <w:pStyle w:val="8"/>
        <w:tabs>
          <w:tab w:val="left" w:pos="9355"/>
        </w:tabs>
        <w:spacing w:before="0" w:beforeAutospacing="0" w:after="0" w:afterAutospacing="0"/>
        <w:ind w:right="-1" w:firstLine="567"/>
        <w:jc w:val="both"/>
        <w:rPr>
          <w:color w:val="000000"/>
          <w:sz w:val="26"/>
          <w:szCs w:val="28"/>
        </w:rPr>
      </w:pPr>
    </w:p>
    <w:p w14:paraId="4D102A55">
      <w:pPr>
        <w:pStyle w:val="8"/>
        <w:tabs>
          <w:tab w:val="left" w:pos="9355"/>
        </w:tabs>
        <w:spacing w:before="0" w:beforeAutospacing="0" w:after="0" w:afterAutospacing="0"/>
        <w:ind w:right="-1" w:firstLine="567"/>
        <w:jc w:val="both"/>
        <w:rPr>
          <w:color w:val="000000"/>
          <w:sz w:val="26"/>
          <w:szCs w:val="28"/>
        </w:rPr>
      </w:pPr>
    </w:p>
    <w:p w14:paraId="3C6EF112">
      <w:pPr>
        <w:pStyle w:val="8"/>
        <w:tabs>
          <w:tab w:val="left" w:pos="9355"/>
        </w:tabs>
        <w:spacing w:before="0" w:beforeAutospacing="0" w:after="0" w:afterAutospacing="0"/>
        <w:ind w:right="-1"/>
        <w:jc w:val="right"/>
        <w:rPr>
          <w:color w:val="000000"/>
          <w:sz w:val="28"/>
          <w:szCs w:val="28"/>
        </w:rPr>
      </w:pPr>
    </w:p>
    <w:p w14:paraId="0B62C2DF">
      <w:pPr>
        <w:pStyle w:val="8"/>
        <w:tabs>
          <w:tab w:val="left" w:pos="9355"/>
        </w:tabs>
        <w:spacing w:before="0" w:beforeAutospacing="0" w:after="0" w:afterAutospacing="0"/>
        <w:ind w:right="-1"/>
        <w:jc w:val="right"/>
        <w:rPr>
          <w:color w:val="000000"/>
          <w:sz w:val="28"/>
          <w:szCs w:val="28"/>
        </w:rPr>
      </w:pPr>
    </w:p>
    <w:p w14:paraId="4F9B2BE9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02039969">
      <w:pPr>
        <w:autoSpaceDE w:val="0"/>
        <w:autoSpaceDN w:val="0"/>
        <w:adjustRightInd w:val="0"/>
        <w:spacing w:after="0" w:line="240" w:lineRule="exact"/>
        <w:ind w:left="2832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</w:p>
    <w:p w14:paraId="249D59A4">
      <w:pPr>
        <w:autoSpaceDE w:val="0"/>
        <w:autoSpaceDN w:val="0"/>
        <w:adjustRightInd w:val="0"/>
        <w:spacing w:after="0" w:line="240" w:lineRule="exact"/>
        <w:ind w:left="2832"/>
        <w:outlineLvl w:val="0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</w:p>
    <w:p w14:paraId="4A37474E">
      <w:pPr>
        <w:jc w:val="center"/>
      </w:pPr>
    </w:p>
    <w:sectPr>
      <w:headerReference r:id="rId5" w:type="default"/>
      <w:headerReference r:id="rId6" w:type="even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44AE2">
    <w:pPr>
      <w:pStyle w:val="7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3</w:t>
    </w:r>
    <w:r>
      <w:rPr>
        <w:rStyle w:val="5"/>
      </w:rPr>
      <w:fldChar w:fldCharType="end"/>
    </w:r>
  </w:p>
  <w:p w14:paraId="114B942E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D9311">
    <w:pPr>
      <w:pStyle w:val="7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0C65374E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3A25EE"/>
    <w:multiLevelType w:val="singleLevel"/>
    <w:tmpl w:val="513A25EE"/>
    <w:lvl w:ilvl="0" w:tentative="0">
      <w:start w:val="2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583"/>
    <w:rsid w:val="00015D4C"/>
    <w:rsid w:val="00066B45"/>
    <w:rsid w:val="000812C8"/>
    <w:rsid w:val="000934EE"/>
    <w:rsid w:val="00095F16"/>
    <w:rsid w:val="000A28A1"/>
    <w:rsid w:val="000B773F"/>
    <w:rsid w:val="000D5388"/>
    <w:rsid w:val="0014359B"/>
    <w:rsid w:val="00182DFB"/>
    <w:rsid w:val="001B0A8F"/>
    <w:rsid w:val="001F6C65"/>
    <w:rsid w:val="00221E1E"/>
    <w:rsid w:val="002363C2"/>
    <w:rsid w:val="00237E0F"/>
    <w:rsid w:val="0026420F"/>
    <w:rsid w:val="002C5382"/>
    <w:rsid w:val="002D103A"/>
    <w:rsid w:val="00346C2E"/>
    <w:rsid w:val="00366855"/>
    <w:rsid w:val="00370839"/>
    <w:rsid w:val="00394375"/>
    <w:rsid w:val="003D207F"/>
    <w:rsid w:val="00451D66"/>
    <w:rsid w:val="00464551"/>
    <w:rsid w:val="004A36B5"/>
    <w:rsid w:val="004C6423"/>
    <w:rsid w:val="004D1A2D"/>
    <w:rsid w:val="004D66A1"/>
    <w:rsid w:val="004E202C"/>
    <w:rsid w:val="00543222"/>
    <w:rsid w:val="005465FA"/>
    <w:rsid w:val="005560EF"/>
    <w:rsid w:val="00582EBD"/>
    <w:rsid w:val="005958FF"/>
    <w:rsid w:val="005A015E"/>
    <w:rsid w:val="005E02CE"/>
    <w:rsid w:val="00646ABA"/>
    <w:rsid w:val="00671A22"/>
    <w:rsid w:val="006E1A16"/>
    <w:rsid w:val="0072533A"/>
    <w:rsid w:val="00733583"/>
    <w:rsid w:val="007618FB"/>
    <w:rsid w:val="007805A1"/>
    <w:rsid w:val="00794B3D"/>
    <w:rsid w:val="007A0F3B"/>
    <w:rsid w:val="008113E9"/>
    <w:rsid w:val="00811ABF"/>
    <w:rsid w:val="00815CC9"/>
    <w:rsid w:val="00826074"/>
    <w:rsid w:val="008810D5"/>
    <w:rsid w:val="008A54EA"/>
    <w:rsid w:val="008B29C0"/>
    <w:rsid w:val="008F2A06"/>
    <w:rsid w:val="00901059"/>
    <w:rsid w:val="009310F1"/>
    <w:rsid w:val="00964CDF"/>
    <w:rsid w:val="00966262"/>
    <w:rsid w:val="00982237"/>
    <w:rsid w:val="009E5A50"/>
    <w:rsid w:val="009F25F6"/>
    <w:rsid w:val="00A84276"/>
    <w:rsid w:val="00AC0A33"/>
    <w:rsid w:val="00AD45B7"/>
    <w:rsid w:val="00AF0955"/>
    <w:rsid w:val="00B145A5"/>
    <w:rsid w:val="00B26D48"/>
    <w:rsid w:val="00B2747E"/>
    <w:rsid w:val="00B327F3"/>
    <w:rsid w:val="00B51D3B"/>
    <w:rsid w:val="00B6089B"/>
    <w:rsid w:val="00BA18C5"/>
    <w:rsid w:val="00BB7BEA"/>
    <w:rsid w:val="00BE0C6A"/>
    <w:rsid w:val="00C02DAB"/>
    <w:rsid w:val="00CD2D1C"/>
    <w:rsid w:val="00D01620"/>
    <w:rsid w:val="00D1387F"/>
    <w:rsid w:val="00D6473F"/>
    <w:rsid w:val="00D841E3"/>
    <w:rsid w:val="00DB26AB"/>
    <w:rsid w:val="00E86917"/>
    <w:rsid w:val="00F26DC8"/>
    <w:rsid w:val="00F3031C"/>
    <w:rsid w:val="00F5174A"/>
    <w:rsid w:val="00F64F47"/>
    <w:rsid w:val="00F725A3"/>
    <w:rsid w:val="00FA0A18"/>
    <w:rsid w:val="18A53941"/>
    <w:rsid w:val="25073B05"/>
    <w:rsid w:val="27F70B28"/>
    <w:rsid w:val="295E7912"/>
    <w:rsid w:val="2C583AC6"/>
    <w:rsid w:val="2FB64899"/>
    <w:rsid w:val="42977085"/>
    <w:rsid w:val="6108037B"/>
    <w:rsid w:val="67254BB6"/>
    <w:rsid w:val="6C780628"/>
    <w:rsid w:val="7657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qFormat/>
    <w:uiPriority w:val="99"/>
    <w:rPr>
      <w:rFonts w:cs="Times New Roman"/>
      <w:color w:val="0000FF"/>
      <w:u w:val="single"/>
    </w:rPr>
  </w:style>
  <w:style w:type="character" w:styleId="5">
    <w:name w:val="page number"/>
    <w:qFormat/>
    <w:uiPriority w:val="99"/>
    <w:rPr>
      <w:rFonts w:cs="Times New Roman"/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9"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9">
    <w:name w:val="Верхний колонтитул Знак"/>
    <w:link w:val="7"/>
    <w:semiHidden/>
    <w:qFormat/>
    <w:locked/>
    <w:uiPriority w:val="99"/>
    <w:rPr>
      <w:rFonts w:cs="Times New Roman"/>
      <w:lang w:eastAsia="en-US"/>
    </w:rPr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696</Words>
  <Characters>5216</Characters>
  <Lines>45</Lines>
  <Paragraphs>12</Paragraphs>
  <TotalTime>22</TotalTime>
  <ScaleCrop>false</ScaleCrop>
  <LinksUpToDate>false</LinksUpToDate>
  <CharactersWithSpaces>6089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2026-06-23T04:15:00Z</dcterms:created>
  <dc:creator>User</dc:creator>
  <cp:lastModifiedBy>user</cp:lastModifiedBy>
  <cp:lastPrinted>2020-12-29T02:07:00Z</cp:lastPrinted>
  <dcterms:modified xsi:type="dcterms:W3CDTF">2026-09-08T03:31:03Z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CD3C8055DFB147CFBABA294972A6D1BA_13</vt:lpwstr>
  </property>
  <property fmtid="{D5CDD505-2E9C-101B-9397-08002B2CF9AE}" pid="4" name="KSOTemplateDocerSaveRecord">
    <vt:lpwstr>eyJoZGlkIjoiZDY3ZTFlMjA1OWI4MDgxNWVhY2EwNzZhZmViNTc1NmMifQ==</vt:lpwstr>
  </property>
</Properties>
</file>